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A9C361">
      <w:pPr>
        <w:pStyle w:val="4"/>
        <w:keepNext w:val="0"/>
        <w:keepLines w:val="0"/>
        <w:pageBreakBefore w:val="0"/>
        <w:widowControl w:val="0"/>
        <w:kinsoku/>
        <w:wordWrap/>
        <w:overflowPunct/>
        <w:topLinePunct w:val="0"/>
        <w:autoSpaceDE/>
        <w:autoSpaceDN/>
        <w:bidi w:val="0"/>
        <w:adjustRightInd/>
        <w:snapToGrid/>
        <w:spacing w:before="0" w:beforeLines="0" w:after="0" w:afterLines="0" w:line="560" w:lineRule="exact"/>
        <w:textAlignment w:val="auto"/>
        <w:rPr>
          <w:rFonts w:hint="eastAsia" w:ascii="方正小标宋简体" w:hAnsi="方正小标宋简体" w:eastAsia="方正小标宋简体" w:cs="方正小标宋简体"/>
          <w:b w:val="0"/>
          <w:sz w:val="44"/>
          <w:szCs w:val="44"/>
          <w:lang w:eastAsia="zh-CN"/>
        </w:rPr>
      </w:pPr>
      <w:bookmarkStart w:id="0" w:name="_GoBack"/>
      <w:bookmarkEnd w:id="0"/>
    </w:p>
    <w:p w14:paraId="1860D3BE">
      <w:pPr>
        <w:pStyle w:val="4"/>
        <w:keepNext w:val="0"/>
        <w:keepLines w:val="0"/>
        <w:pageBreakBefore w:val="0"/>
        <w:widowControl w:val="0"/>
        <w:kinsoku/>
        <w:wordWrap/>
        <w:overflowPunct/>
        <w:topLinePunct w:val="0"/>
        <w:autoSpaceDE/>
        <w:autoSpaceDN/>
        <w:bidi w:val="0"/>
        <w:adjustRightInd/>
        <w:snapToGrid/>
        <w:spacing w:before="0" w:beforeLines="0" w:after="0" w:afterLines="0" w:line="560" w:lineRule="exact"/>
        <w:textAlignment w:val="auto"/>
        <w:rPr>
          <w:rFonts w:hint="eastAsia" w:ascii="方正小标宋简体" w:hAnsi="方正小标宋简体" w:eastAsia="方正小标宋简体" w:cs="方正小标宋简体"/>
          <w:b w:val="0"/>
          <w:sz w:val="44"/>
          <w:szCs w:val="44"/>
          <w:lang w:eastAsia="zh-CN"/>
        </w:rPr>
      </w:pPr>
      <w:r>
        <w:rPr>
          <w:rFonts w:hint="eastAsia" w:ascii="方正小标宋简体" w:hAnsi="方正小标宋简体" w:eastAsia="方正小标宋简体" w:cs="方正小标宋简体"/>
          <w:b w:val="0"/>
          <w:sz w:val="44"/>
          <w:szCs w:val="44"/>
          <w:lang w:eastAsia="zh-CN"/>
        </w:rPr>
        <w:t>池州市数字化转型发展示范培育行动</w:t>
      </w:r>
    </w:p>
    <w:p w14:paraId="0EF0450A">
      <w:pPr>
        <w:pStyle w:val="4"/>
        <w:keepNext w:val="0"/>
        <w:keepLines w:val="0"/>
        <w:pageBreakBefore w:val="0"/>
        <w:widowControl w:val="0"/>
        <w:kinsoku/>
        <w:wordWrap/>
        <w:overflowPunct/>
        <w:topLinePunct w:val="0"/>
        <w:autoSpaceDE/>
        <w:autoSpaceDN/>
        <w:bidi w:val="0"/>
        <w:adjustRightInd/>
        <w:snapToGrid/>
        <w:spacing w:before="0" w:beforeLines="0" w:after="0" w:afterLines="0" w:line="560" w:lineRule="exact"/>
        <w:textAlignment w:val="auto"/>
        <w:rPr>
          <w:rFonts w:hint="eastAsia" w:ascii="方正小标宋简体" w:hAnsi="方正小标宋简体" w:eastAsia="方正小标宋简体" w:cs="方正小标宋简体"/>
          <w:b w:val="0"/>
          <w:sz w:val="44"/>
          <w:szCs w:val="44"/>
          <w:lang w:eastAsia="zh-CN"/>
        </w:rPr>
      </w:pPr>
      <w:r>
        <w:rPr>
          <w:rFonts w:hint="eastAsia" w:ascii="方正小标宋简体" w:hAnsi="方正小标宋简体" w:eastAsia="方正小标宋简体" w:cs="方正小标宋简体"/>
          <w:b w:val="0"/>
          <w:sz w:val="44"/>
          <w:szCs w:val="44"/>
          <w:lang w:eastAsia="zh-CN"/>
        </w:rPr>
        <w:t>实施方案（2024—2026年）</w:t>
      </w:r>
    </w:p>
    <w:p w14:paraId="2F39A5FD">
      <w:pPr>
        <w:jc w:val="center"/>
        <w:rPr>
          <w:rFonts w:hint="eastAsia" w:ascii="仿宋_GB2312" w:hAnsi="仿宋_GB2312" w:eastAsia="仿宋_GB2312" w:cs="仿宋_GB2312"/>
          <w:color w:val="auto"/>
          <w:sz w:val="32"/>
          <w:szCs w:val="32"/>
        </w:rPr>
      </w:pPr>
      <w:r>
        <w:rPr>
          <w:rFonts w:hint="eastAsia" w:ascii="楷体_GB2312" w:hAnsi="楷体_GB2312" w:eastAsia="楷体_GB2312" w:cs="楷体_GB2312"/>
          <w:b w:val="0"/>
          <w:sz w:val="32"/>
          <w:szCs w:val="32"/>
          <w:lang w:eastAsia="zh-CN"/>
        </w:rPr>
        <w:t>（征求意见稿）</w:t>
      </w:r>
    </w:p>
    <w:p w14:paraId="061999A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为全面贯彻落实党的二十大</w:t>
      </w:r>
      <w:r>
        <w:rPr>
          <w:rFonts w:hint="eastAsia" w:ascii="仿宋_GB2312" w:hAnsi="仿宋_GB2312" w:eastAsia="仿宋_GB2312" w:cs="仿宋_GB2312"/>
          <w:color w:val="auto"/>
          <w:sz w:val="32"/>
          <w:szCs w:val="32"/>
          <w:lang w:eastAsia="zh-CN"/>
        </w:rPr>
        <w:t>和二十届三中全会</w:t>
      </w:r>
      <w:r>
        <w:rPr>
          <w:rFonts w:hint="eastAsia" w:ascii="仿宋_GB2312" w:hAnsi="仿宋_GB2312" w:eastAsia="仿宋_GB2312" w:cs="仿宋_GB2312"/>
          <w:color w:val="auto"/>
          <w:sz w:val="32"/>
          <w:szCs w:val="32"/>
        </w:rPr>
        <w:t>精神，加快推进全</w:t>
      </w:r>
      <w:r>
        <w:rPr>
          <w:rFonts w:hint="eastAsia" w:ascii="仿宋_GB2312" w:hAnsi="仿宋_GB2312" w:eastAsia="仿宋_GB2312" w:cs="仿宋_GB2312"/>
          <w:color w:val="auto"/>
          <w:sz w:val="32"/>
          <w:szCs w:val="32"/>
          <w:lang w:eastAsia="zh-CN"/>
        </w:rPr>
        <w:t>市</w:t>
      </w:r>
      <w:r>
        <w:rPr>
          <w:rFonts w:hint="eastAsia" w:ascii="仿宋_GB2312" w:hAnsi="仿宋_GB2312" w:eastAsia="仿宋_GB2312" w:cs="仿宋_GB2312"/>
          <w:color w:val="auto"/>
          <w:sz w:val="32"/>
          <w:szCs w:val="32"/>
        </w:rPr>
        <w:t>制造业数字化转型，推动制造业高端化、智能化、绿色化发展，根据</w:t>
      </w:r>
      <w:r>
        <w:rPr>
          <w:rFonts w:hint="eastAsia" w:ascii="仿宋_GB2312" w:hAnsi="仿宋_GB2312" w:eastAsia="仿宋_GB2312" w:cs="仿宋_GB2312"/>
          <w:color w:val="auto"/>
          <w:sz w:val="32"/>
          <w:szCs w:val="32"/>
          <w:lang w:eastAsia="zh-CN"/>
        </w:rPr>
        <w:t>《安徽省人民政府办公厅</w:t>
      </w:r>
      <w:r>
        <w:rPr>
          <w:rFonts w:hint="eastAsia" w:ascii="仿宋_GB2312" w:hAnsi="仿宋_GB2312" w:eastAsia="仿宋_GB2312" w:cs="仿宋_GB2312"/>
          <w:color w:val="auto"/>
          <w:sz w:val="32"/>
          <w:szCs w:val="32"/>
          <w:lang w:val="en-US" w:eastAsia="zh-CN"/>
        </w:rPr>
        <w:t>关于印发</w:t>
      </w:r>
      <w:r>
        <w:rPr>
          <w:rFonts w:hint="eastAsia" w:ascii="仿宋_GB2312" w:hAnsi="仿宋_GB2312" w:eastAsia="仿宋_GB2312" w:cs="仿宋_GB2312"/>
          <w:color w:val="auto"/>
          <w:sz w:val="32"/>
          <w:szCs w:val="32"/>
          <w:lang w:eastAsia="zh-CN"/>
        </w:rPr>
        <w:t>以数字化转型推动制造业高端化智能化绿色化发展实施方案</w:t>
      </w:r>
      <w:r>
        <w:rPr>
          <w:rFonts w:hint="eastAsia" w:ascii="仿宋_GB2312" w:hAnsi="仿宋_GB2312" w:eastAsia="仿宋_GB2312" w:cs="仿宋_GB2312"/>
          <w:color w:val="auto"/>
          <w:sz w:val="32"/>
          <w:szCs w:val="32"/>
          <w:lang w:val="en-US" w:eastAsia="zh-CN"/>
        </w:rPr>
        <w:t>及支持政策的通知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皖政办〔2023〕2号</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以</w:t>
      </w:r>
      <w:r>
        <w:rPr>
          <w:rFonts w:hint="eastAsia" w:ascii="仿宋_GB2312" w:hAnsi="仿宋_GB2312" w:eastAsia="仿宋_GB2312" w:cs="仿宋_GB2312"/>
          <w:color w:val="auto"/>
          <w:sz w:val="32"/>
          <w:szCs w:val="32"/>
          <w:lang w:eastAsia="zh-CN"/>
        </w:rPr>
        <w:t>及《安徽省人民政府办公厅</w:t>
      </w:r>
      <w:r>
        <w:rPr>
          <w:rFonts w:hint="eastAsia" w:ascii="仿宋_GB2312" w:hAnsi="仿宋_GB2312" w:eastAsia="仿宋_GB2312" w:cs="仿宋_GB2312"/>
          <w:color w:val="auto"/>
          <w:sz w:val="32"/>
          <w:szCs w:val="32"/>
          <w:lang w:val="en-US" w:eastAsia="zh-CN"/>
        </w:rPr>
        <w:t>关于印发</w:t>
      </w:r>
      <w:r>
        <w:rPr>
          <w:rFonts w:hint="eastAsia" w:ascii="仿宋_GB2312" w:hAnsi="仿宋_GB2312" w:eastAsia="仿宋_GB2312" w:cs="仿宋_GB2312"/>
          <w:color w:val="auto"/>
          <w:sz w:val="32"/>
          <w:szCs w:val="32"/>
          <w:lang w:eastAsia="zh-CN"/>
        </w:rPr>
        <w:t>支持以数字化转型推动制造业高端化智能化绿色化发展若干政策（2024版）</w:t>
      </w:r>
      <w:r>
        <w:rPr>
          <w:rFonts w:hint="eastAsia" w:ascii="仿宋_GB2312" w:hAnsi="仿宋_GB2312" w:eastAsia="仿宋_GB2312" w:cs="仿宋_GB2312"/>
          <w:color w:val="auto"/>
          <w:sz w:val="32"/>
          <w:szCs w:val="32"/>
          <w:lang w:val="en-US" w:eastAsia="zh-CN"/>
        </w:rPr>
        <w:t>的通知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皖政办〔2024〕7号</w:t>
      </w:r>
      <w:r>
        <w:rPr>
          <w:rFonts w:hint="eastAsia" w:ascii="仿宋_GB2312" w:hAnsi="仿宋_GB2312" w:eastAsia="仿宋_GB2312" w:cs="仿宋_GB2312"/>
          <w:color w:val="auto"/>
          <w:sz w:val="32"/>
          <w:szCs w:val="32"/>
          <w:lang w:eastAsia="zh-CN"/>
        </w:rPr>
        <w:t>）精神</w:t>
      </w:r>
      <w:r>
        <w:rPr>
          <w:rFonts w:hint="eastAsia" w:ascii="仿宋_GB2312" w:hAnsi="仿宋_GB2312" w:eastAsia="仿宋_GB2312" w:cs="仿宋_GB2312"/>
          <w:color w:val="auto"/>
          <w:sz w:val="32"/>
          <w:szCs w:val="32"/>
        </w:rPr>
        <w:t>，制定本实施方案。</w:t>
      </w:r>
    </w:p>
    <w:p w14:paraId="73EFE85D">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一、总体思路和目标</w:t>
      </w:r>
    </w:p>
    <w:p w14:paraId="2B9FFABA">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探索我市企业数字化转型发展路径，促进制造业转型升级，借鉴先进地区做法，</w:t>
      </w:r>
      <w:r>
        <w:rPr>
          <w:rFonts w:hint="eastAsia" w:ascii="仿宋_GB2312" w:hAnsi="仿宋_GB2312" w:eastAsia="仿宋_GB2312" w:cs="仿宋_GB2312"/>
          <w:color w:val="auto"/>
          <w:sz w:val="32"/>
          <w:szCs w:val="32"/>
        </w:rPr>
        <w:t>按照</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分行业、选龙头、树典型、重引导、全覆盖</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的思路，以新一代信息技术与制造业深度融合为主线，以工业互联网平台和网络基础设施为支撑，</w:t>
      </w:r>
      <w:r>
        <w:rPr>
          <w:rFonts w:hint="eastAsia" w:ascii="仿宋_GB2312" w:hAnsi="仿宋_GB2312" w:eastAsia="仿宋_GB2312" w:cs="仿宋_GB2312"/>
          <w:color w:val="auto"/>
          <w:sz w:val="32"/>
          <w:szCs w:val="32"/>
          <w:lang w:val="en-US" w:eastAsia="zh-CN"/>
        </w:rPr>
        <w:t>以全市制造业企业为主要对象，</w:t>
      </w:r>
      <w:r>
        <w:rPr>
          <w:rFonts w:hint="eastAsia" w:ascii="仿宋_GB2312" w:hAnsi="仿宋_GB2312" w:eastAsia="仿宋_GB2312" w:cs="仿宋_GB2312"/>
          <w:color w:val="auto"/>
          <w:sz w:val="32"/>
          <w:szCs w:val="32"/>
        </w:rPr>
        <w:t>加快</w:t>
      </w:r>
      <w:r>
        <w:rPr>
          <w:rFonts w:hint="eastAsia" w:ascii="仿宋_GB2312" w:hAnsi="仿宋_GB2312" w:eastAsia="仿宋_GB2312" w:cs="仿宋_GB2312"/>
          <w:color w:val="auto"/>
          <w:sz w:val="32"/>
          <w:szCs w:val="32"/>
          <w:lang w:eastAsia="zh-CN"/>
        </w:rPr>
        <w:t>推进</w:t>
      </w:r>
      <w:r>
        <w:rPr>
          <w:rFonts w:hint="eastAsia" w:ascii="仿宋_GB2312" w:hAnsi="仿宋_GB2312" w:eastAsia="仿宋_GB2312" w:cs="仿宋_GB2312"/>
          <w:color w:val="auto"/>
          <w:sz w:val="32"/>
          <w:szCs w:val="32"/>
        </w:rPr>
        <w:t>制造业数字化转型，实现产业数字化和数字产业化协同发展，</w:t>
      </w:r>
      <w:r>
        <w:rPr>
          <w:rFonts w:hint="eastAsia" w:ascii="仿宋_GB2312" w:hAnsi="仿宋_GB2312" w:eastAsia="仿宋_GB2312" w:cs="仿宋_GB2312"/>
          <w:color w:val="auto"/>
          <w:sz w:val="32"/>
          <w:szCs w:val="32"/>
          <w:lang w:val="en-US" w:eastAsia="zh-CN"/>
        </w:rPr>
        <w:t>汇聚一批优质数字化转型服务商，打造一批示范企业，力争我市</w:t>
      </w:r>
      <w:r>
        <w:rPr>
          <w:rFonts w:hint="eastAsia" w:ascii="仿宋_GB2312" w:hAnsi="仿宋_GB2312" w:eastAsia="仿宋_GB2312" w:cs="仿宋_GB2312"/>
          <w:color w:val="auto"/>
          <w:sz w:val="32"/>
          <w:szCs w:val="32"/>
        </w:rPr>
        <w:t>制造业数字化转型工作</w:t>
      </w:r>
      <w:r>
        <w:rPr>
          <w:rFonts w:hint="eastAsia" w:ascii="仿宋_GB2312" w:hAnsi="仿宋_GB2312" w:eastAsia="仿宋_GB2312" w:cs="仿宋_GB2312"/>
          <w:color w:val="auto"/>
          <w:sz w:val="32"/>
          <w:szCs w:val="32"/>
          <w:lang w:val="en-US" w:eastAsia="zh-CN"/>
        </w:rPr>
        <w:t>迈入全省先进行列。</w:t>
      </w:r>
    </w:p>
    <w:p w14:paraId="45B33BEA">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（一）引育5家业内领先的数字化转型服务商；</w:t>
      </w:r>
    </w:p>
    <w:p w14:paraId="56192803">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（二）打造</w:t>
      </w:r>
      <w:r>
        <w:rPr>
          <w:rFonts w:hint="default"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lang w:val="en-US" w:eastAsia="zh-CN"/>
        </w:rPr>
        <w:t>家工业互联网平台建设示范企业；</w:t>
      </w:r>
    </w:p>
    <w:p w14:paraId="5F5FA839">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（三）打造1</w:t>
      </w:r>
      <w:r>
        <w:rPr>
          <w:rFonts w:hint="default"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lang w:val="en-US" w:eastAsia="zh-CN"/>
        </w:rPr>
        <w:t>家</w:t>
      </w:r>
      <w:r>
        <w:rPr>
          <w:rFonts w:hint="eastAsia" w:ascii="仿宋_GB2312" w:hAnsi="仿宋_GB2312" w:eastAsia="仿宋_GB2312" w:cs="仿宋_GB2312"/>
          <w:b w:val="0"/>
          <w:bCs w:val="0"/>
          <w:color w:val="auto"/>
          <w:sz w:val="32"/>
          <w:szCs w:val="32"/>
          <w:lang w:val="en-US" w:eastAsia="zh-CN"/>
        </w:rPr>
        <w:t>5G全连接工厂</w:t>
      </w:r>
      <w:r>
        <w:rPr>
          <w:rFonts w:hint="eastAsia" w:ascii="仿宋_GB2312" w:hAnsi="仿宋_GB2312" w:eastAsia="仿宋_GB2312" w:cs="仿宋_GB2312"/>
          <w:color w:val="auto"/>
          <w:sz w:val="32"/>
          <w:szCs w:val="32"/>
          <w:lang w:val="en-US" w:eastAsia="zh-CN"/>
        </w:rPr>
        <w:t>示范企业；</w:t>
      </w:r>
    </w:p>
    <w:p w14:paraId="5895A257">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（四）打造1</w:t>
      </w:r>
      <w:r>
        <w:rPr>
          <w:rFonts w:hint="default"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lang w:val="en-US" w:eastAsia="zh-CN"/>
        </w:rPr>
        <w:t>家数字化转型典型示范企业；</w:t>
      </w:r>
    </w:p>
    <w:p w14:paraId="7ADB187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（五）打造10家精益化管理示范企业。</w:t>
      </w:r>
    </w:p>
    <w:p w14:paraId="59E8D0C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eastAsia="方正黑体_GBK"/>
          <w:color w:val="auto"/>
          <w:sz w:val="32"/>
          <w:szCs w:val="32"/>
          <w:lang w:val="en-US" w:eastAsia="zh-CN"/>
        </w:rPr>
      </w:pPr>
      <w:r>
        <w:rPr>
          <w:rFonts w:hint="eastAsia" w:ascii="仿宋_GB2312" w:hAnsi="仿宋_GB2312" w:eastAsia="仿宋_GB2312" w:cs="仿宋_GB2312"/>
          <w:color w:val="auto"/>
          <w:sz w:val="32"/>
          <w:szCs w:val="32"/>
          <w:lang w:val="en-US" w:eastAsia="zh-CN"/>
        </w:rPr>
        <w:t>通过培育40家示范企业，探索实现产业数字化和数字产业化协同发展典型路径，不断完善产业链，提升价值链。</w:t>
      </w:r>
    </w:p>
    <w:p w14:paraId="1D98E273">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二、主要任务</w:t>
      </w:r>
      <w:r>
        <w:rPr>
          <w:rFonts w:hint="eastAsia" w:eastAsia="方正黑体_GBK"/>
          <w:color w:val="auto"/>
          <w:sz w:val="32"/>
          <w:szCs w:val="32"/>
          <w:lang w:val="en-US" w:eastAsia="zh-CN"/>
        </w:rPr>
        <w:t xml:space="preserve"> </w:t>
      </w:r>
    </w:p>
    <w:p w14:paraId="44F0AF32">
      <w:pPr>
        <w:keepNext w:val="0"/>
        <w:keepLines w:val="0"/>
        <w:pageBreakBefore w:val="0"/>
        <w:widowControl w:val="0"/>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（一）引育数字化转型服务商。</w:t>
      </w:r>
      <w:r>
        <w:rPr>
          <w:rFonts w:hint="eastAsia" w:ascii="仿宋_GB2312" w:hAnsi="仿宋_GB2312" w:eastAsia="仿宋_GB2312" w:cs="仿宋_GB2312"/>
          <w:i w:val="0"/>
          <w:iCs w:val="0"/>
          <w:caps w:val="0"/>
          <w:color w:val="auto"/>
          <w:spacing w:val="0"/>
          <w:sz w:val="32"/>
          <w:szCs w:val="32"/>
          <w:shd w:val="clear" w:color="auto" w:fill="auto"/>
        </w:rPr>
        <w:t>结合行业数字化转型共性特征和企业个性需求，</w:t>
      </w:r>
      <w:r>
        <w:rPr>
          <w:rFonts w:hint="eastAsia" w:ascii="仿宋_GB2312" w:hAnsi="仿宋_GB2312" w:eastAsia="仿宋_GB2312" w:cs="仿宋_GB2312"/>
          <w:i w:val="0"/>
          <w:iCs w:val="0"/>
          <w:caps w:val="0"/>
          <w:color w:val="auto"/>
          <w:spacing w:val="0"/>
          <w:sz w:val="32"/>
          <w:szCs w:val="32"/>
        </w:rPr>
        <w:t>培育一批本地化数字化转型服务商，</w:t>
      </w:r>
      <w:r>
        <w:rPr>
          <w:rFonts w:hint="eastAsia" w:ascii="仿宋_GB2312" w:hAnsi="仿宋_GB2312" w:eastAsia="仿宋_GB2312" w:cs="仿宋_GB2312"/>
          <w:color w:val="auto"/>
          <w:sz w:val="32"/>
          <w:szCs w:val="32"/>
          <w:lang w:val="en-US" w:eastAsia="zh-CN"/>
        </w:rPr>
        <w:t>面向全国遴选一批业内领先服务商，打造5家</w:t>
      </w:r>
      <w:r>
        <w:rPr>
          <w:rFonts w:hint="eastAsia" w:ascii="仿宋_GB2312" w:hAnsi="仿宋_GB2312" w:eastAsia="仿宋_GB2312" w:cs="仿宋_GB2312"/>
          <w:i w:val="0"/>
          <w:iCs w:val="0"/>
          <w:caps w:val="0"/>
          <w:color w:val="auto"/>
          <w:spacing w:val="0"/>
          <w:sz w:val="32"/>
          <w:szCs w:val="32"/>
          <w:shd w:val="clear" w:color="auto" w:fill="auto"/>
        </w:rPr>
        <w:t>具备较强技术支撑能力、较深行业知识积累、较好工程实施能力的服务商</w:t>
      </w:r>
      <w:r>
        <w:rPr>
          <w:rFonts w:hint="eastAsia" w:ascii="仿宋_GB2312" w:hAnsi="仿宋_GB2312" w:eastAsia="仿宋_GB2312" w:cs="仿宋_GB2312"/>
          <w:i w:val="0"/>
          <w:iCs w:val="0"/>
          <w:caps w:val="0"/>
          <w:color w:val="auto"/>
          <w:spacing w:val="0"/>
          <w:sz w:val="32"/>
          <w:szCs w:val="32"/>
          <w:shd w:val="clear" w:color="auto" w:fill="auto"/>
          <w:lang w:eastAsia="zh-CN"/>
        </w:rPr>
        <w:t>矩阵并不断扩充资源池</w:t>
      </w:r>
      <w:r>
        <w:rPr>
          <w:rFonts w:hint="eastAsia" w:ascii="仿宋_GB2312" w:hAnsi="仿宋_GB2312" w:eastAsia="仿宋_GB2312" w:cs="仿宋_GB2312"/>
          <w:i w:val="0"/>
          <w:iCs w:val="0"/>
          <w:caps w:val="0"/>
          <w:color w:val="auto"/>
          <w:spacing w:val="0"/>
          <w:sz w:val="32"/>
          <w:szCs w:val="32"/>
          <w:shd w:val="clear" w:color="auto" w:fill="auto"/>
        </w:rPr>
        <w:t>，梳理形成与企业需求适配的数字化转型解决方案</w:t>
      </w:r>
      <w:r>
        <w:rPr>
          <w:rFonts w:hint="eastAsia" w:ascii="仿宋_GB2312" w:hAnsi="仿宋_GB2312" w:eastAsia="仿宋_GB2312" w:cs="仿宋_GB2312"/>
          <w:i w:val="0"/>
          <w:iCs w:val="0"/>
          <w:caps w:val="0"/>
          <w:color w:val="auto"/>
          <w:spacing w:val="0"/>
          <w:sz w:val="32"/>
          <w:szCs w:val="32"/>
          <w:shd w:val="clear" w:color="auto" w:fill="auto"/>
          <w:lang w:eastAsia="zh-CN"/>
        </w:rPr>
        <w:t>。</w:t>
      </w:r>
      <w:r>
        <w:rPr>
          <w:rFonts w:hint="eastAsia" w:ascii="仿宋_GB2312" w:hAnsi="仿宋_GB2312" w:eastAsia="仿宋_GB2312" w:cs="仿宋_GB2312"/>
          <w:color w:val="auto"/>
          <w:sz w:val="32"/>
          <w:szCs w:val="32"/>
          <w:lang w:val="en-US" w:eastAsia="zh-CN"/>
        </w:rPr>
        <w:t xml:space="preserve">（责任单位：市工业和信息化局；各县区人民政府，江南新兴产业集中区管委会、开发区管委会） </w:t>
      </w:r>
    </w:p>
    <w:p w14:paraId="05C650AA">
      <w:pPr>
        <w:keepNext w:val="0"/>
        <w:keepLines w:val="0"/>
        <w:pageBreakBefore w:val="0"/>
        <w:widowControl w:val="0"/>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（二）打造工业互联网平台建设示范企业。</w:t>
      </w:r>
      <w:r>
        <w:rPr>
          <w:rFonts w:hint="eastAsia" w:ascii="仿宋_GB2312" w:hAnsi="仿宋_GB2312" w:eastAsia="仿宋_GB2312" w:cs="仿宋_GB2312"/>
          <w:color w:val="auto"/>
          <w:sz w:val="32"/>
          <w:szCs w:val="32"/>
          <w:lang w:val="en-US" w:eastAsia="zh-CN"/>
        </w:rPr>
        <w:t>支持数字化改造升级，以</w:t>
      </w:r>
      <w:r>
        <w:rPr>
          <w:rFonts w:hint="eastAsia" w:ascii="仿宋_GB2312" w:hAnsi="仿宋_GB2312" w:eastAsia="仿宋_GB2312" w:cs="仿宋_GB2312"/>
          <w:color w:val="auto"/>
          <w:sz w:val="32"/>
          <w:szCs w:val="32"/>
        </w:rPr>
        <w:t>新材料</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半导体、高端装备制造、新能源和节能环保</w:t>
      </w:r>
      <w:r>
        <w:rPr>
          <w:rFonts w:hint="eastAsia" w:ascii="仿宋_GB2312" w:hAnsi="仿宋_GB2312" w:eastAsia="仿宋_GB2312" w:cs="仿宋_GB2312"/>
          <w:color w:val="auto"/>
          <w:sz w:val="32"/>
          <w:szCs w:val="32"/>
          <w:lang w:val="en-US" w:eastAsia="zh-CN"/>
        </w:rPr>
        <w:t>等优势产业为重点，立足行业特色和企业特色，</w:t>
      </w:r>
      <w:r>
        <w:rPr>
          <w:rFonts w:hint="eastAsia" w:ascii="仿宋_GB2312" w:hAnsi="仿宋_GB2312" w:eastAsia="仿宋_GB2312" w:cs="仿宋_GB2312"/>
          <w:i w:val="0"/>
          <w:iCs w:val="0"/>
          <w:caps w:val="0"/>
          <w:color w:val="auto"/>
          <w:spacing w:val="0"/>
          <w:sz w:val="32"/>
          <w:szCs w:val="32"/>
          <w:shd w:val="clear" w:color="auto" w:fill="auto"/>
        </w:rPr>
        <w:t>加大行业型、专业型、区域型工业互联网平台引进培育</w:t>
      </w:r>
      <w:r>
        <w:rPr>
          <w:rFonts w:hint="eastAsia" w:ascii="仿宋_GB2312" w:hAnsi="仿宋_GB2312" w:eastAsia="仿宋_GB2312" w:cs="仿宋_GB2312"/>
          <w:i w:val="0"/>
          <w:iCs w:val="0"/>
          <w:caps w:val="0"/>
          <w:color w:val="auto"/>
          <w:spacing w:val="0"/>
          <w:sz w:val="32"/>
          <w:szCs w:val="32"/>
          <w:shd w:val="clear" w:color="auto" w:fill="auto"/>
          <w:lang w:eastAsia="zh-CN"/>
        </w:rPr>
        <w:t>，</w:t>
      </w:r>
      <w:r>
        <w:rPr>
          <w:rFonts w:hint="eastAsia" w:ascii="仿宋_GB2312" w:hAnsi="仿宋_GB2312" w:eastAsia="仿宋_GB2312" w:cs="仿宋_GB2312"/>
          <w:color w:val="auto"/>
          <w:sz w:val="32"/>
          <w:szCs w:val="32"/>
          <w:lang w:val="en-US" w:eastAsia="zh-CN"/>
        </w:rPr>
        <w:t>打造10家</w:t>
      </w:r>
      <w:r>
        <w:rPr>
          <w:rFonts w:hint="eastAsia" w:ascii="仿宋_GB2312" w:hAnsi="仿宋_GB2312" w:eastAsia="仿宋_GB2312" w:cs="仿宋_GB2312"/>
          <w:b w:val="0"/>
          <w:bCs w:val="0"/>
          <w:color w:val="auto"/>
          <w:sz w:val="32"/>
          <w:szCs w:val="32"/>
          <w:lang w:val="en-US" w:eastAsia="zh-CN"/>
        </w:rPr>
        <w:t>工业互联网平台建设示范企业，促进产业链高效协同发展，实现生产方式和商业模式创新。</w:t>
      </w:r>
      <w:r>
        <w:rPr>
          <w:rFonts w:hint="eastAsia" w:ascii="仿宋_GB2312" w:hAnsi="仿宋_GB2312" w:eastAsia="仿宋_GB2312" w:cs="仿宋_GB2312"/>
          <w:color w:val="auto"/>
          <w:sz w:val="32"/>
          <w:szCs w:val="32"/>
          <w:lang w:val="en-US" w:eastAsia="zh-CN"/>
        </w:rPr>
        <w:t xml:space="preserve">（责任单位：市工业和信息化局；各县区人民政府，江南新兴产业集中区管委会、开发区管委会） </w:t>
      </w:r>
    </w:p>
    <w:p w14:paraId="77434137">
      <w:pPr>
        <w:keepNext w:val="0"/>
        <w:keepLines w:val="0"/>
        <w:pageBreakBefore w:val="0"/>
        <w:widowControl w:val="0"/>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楷体_GB2312" w:hAnsi="楷体_GB2312" w:eastAsia="楷体_GB2312" w:cs="楷体_GB2312"/>
          <w:b/>
          <w:bCs/>
          <w:color w:val="auto"/>
          <w:sz w:val="32"/>
          <w:szCs w:val="32"/>
          <w:lang w:val="en-US" w:eastAsia="zh-CN"/>
        </w:rPr>
        <w:t>（三）打造5G全连接工厂示范企业。</w:t>
      </w:r>
      <w:r>
        <w:rPr>
          <w:rFonts w:hint="eastAsia" w:ascii="仿宋_GB2312" w:hAnsi="仿宋_GB2312" w:eastAsia="仿宋_GB2312" w:cs="仿宋_GB2312"/>
          <w:b w:val="0"/>
          <w:bCs w:val="0"/>
          <w:color w:val="auto"/>
          <w:sz w:val="32"/>
          <w:szCs w:val="32"/>
          <w:lang w:val="en-US" w:eastAsia="zh-CN"/>
        </w:rPr>
        <w:t>支持企业建设产线级、车间级、工厂级等不同类型 5G 全连接工厂，逐步推动5G网络部署及应用从工业外围环节向生产制造核心环节拓展，</w:t>
      </w:r>
      <w:r>
        <w:rPr>
          <w:rFonts w:hint="eastAsia" w:ascii="仿宋_GB2312" w:hAnsi="仿宋_GB2312" w:eastAsia="仿宋_GB2312" w:cs="仿宋_GB2312"/>
          <w:i w:val="0"/>
          <w:iCs w:val="0"/>
          <w:caps w:val="0"/>
          <w:color w:val="auto"/>
          <w:spacing w:val="0"/>
          <w:sz w:val="32"/>
          <w:szCs w:val="32"/>
          <w:shd w:val="clear" w:color="auto" w:fill="auto"/>
        </w:rPr>
        <w:t>实现生产、经营数据全栈式一体化感知、分析、决策。</w:t>
      </w:r>
      <w:r>
        <w:rPr>
          <w:rFonts w:hint="eastAsia" w:ascii="仿宋_GB2312" w:hAnsi="仿宋_GB2312" w:eastAsia="仿宋_GB2312" w:cs="仿宋_GB2312"/>
          <w:b w:val="0"/>
          <w:bCs w:val="0"/>
          <w:color w:val="auto"/>
          <w:sz w:val="32"/>
          <w:szCs w:val="32"/>
          <w:lang w:val="en-US" w:eastAsia="zh-CN"/>
        </w:rPr>
        <w:t>打造10家5G全连接工厂示范企业。</w:t>
      </w:r>
      <w:r>
        <w:rPr>
          <w:rFonts w:hint="eastAsia" w:ascii="仿宋_GB2312" w:hAnsi="仿宋_GB2312" w:eastAsia="仿宋_GB2312" w:cs="仿宋_GB2312"/>
          <w:color w:val="auto"/>
          <w:sz w:val="32"/>
          <w:szCs w:val="32"/>
          <w:lang w:val="en-US" w:eastAsia="zh-CN"/>
        </w:rPr>
        <w:t>（责任单位：市工业和信息化局；各县区人民政府，江南新兴产业集中区管委会、开发区管委会）</w:t>
      </w:r>
    </w:p>
    <w:p w14:paraId="0B18F871">
      <w:pPr>
        <w:keepNext w:val="0"/>
        <w:keepLines w:val="0"/>
        <w:pageBreakBefore w:val="0"/>
        <w:widowControl w:val="0"/>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eastAsia="zh-CN"/>
        </w:rPr>
        <w:t>（四）打造数字化转型典型示范企业。</w:t>
      </w:r>
      <w:r>
        <w:rPr>
          <w:rFonts w:hint="eastAsia" w:ascii="仿宋_GB2312" w:hAnsi="仿宋_GB2312" w:eastAsia="仿宋_GB2312" w:cs="仿宋_GB2312"/>
          <w:sz w:val="32"/>
          <w:szCs w:val="32"/>
        </w:rPr>
        <w:t>持续</w:t>
      </w:r>
      <w:r>
        <w:rPr>
          <w:rFonts w:hint="eastAsia" w:ascii="仿宋_GB2312" w:hAnsi="仿宋_GB2312" w:eastAsia="仿宋_GB2312" w:cs="仿宋_GB2312"/>
          <w:sz w:val="32"/>
          <w:szCs w:val="32"/>
          <w:lang w:eastAsia="zh-CN"/>
        </w:rPr>
        <w:t>推广</w:t>
      </w:r>
      <w:r>
        <w:rPr>
          <w:rFonts w:hint="eastAsia" w:ascii="仿宋_GB2312" w:hAnsi="仿宋_GB2312" w:eastAsia="仿宋_GB2312" w:cs="仿宋_GB2312"/>
          <w:sz w:val="32"/>
          <w:szCs w:val="32"/>
        </w:rPr>
        <w:t>应用中小微制造业企业数字化软件服务包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推进企业设备换芯、机器换人、生产换线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引导重点企业设备互联、数据驱动、生产智控，培育一批省级智能工厂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数字化车间</w:t>
      </w:r>
      <w:r>
        <w:rPr>
          <w:rFonts w:hint="eastAsia" w:ascii="仿宋_GB2312" w:hAnsi="仿宋_GB2312" w:eastAsia="仿宋_GB2312" w:cs="仿宋_GB2312"/>
          <w:sz w:val="32"/>
          <w:szCs w:val="32"/>
          <w:lang w:eastAsia="zh-CN"/>
        </w:rPr>
        <w:t>，打造</w:t>
      </w:r>
      <w:r>
        <w:rPr>
          <w:rFonts w:hint="eastAsia" w:ascii="仿宋_GB2312" w:hAnsi="仿宋_GB2312" w:eastAsia="仿宋_GB2312" w:cs="仿宋_GB2312"/>
          <w:sz w:val="32"/>
          <w:szCs w:val="32"/>
          <w:lang w:val="en-US" w:eastAsia="zh-CN"/>
        </w:rPr>
        <w:t>10家</w:t>
      </w:r>
      <w:r>
        <w:rPr>
          <w:rFonts w:hint="eastAsia" w:ascii="仿宋_GB2312" w:hAnsi="仿宋_GB2312" w:eastAsia="仿宋_GB2312" w:cs="仿宋_GB2312"/>
          <w:sz w:val="32"/>
          <w:szCs w:val="32"/>
          <w:lang w:eastAsia="zh-CN"/>
        </w:rPr>
        <w:t>数字化转型典型示范企业。</w:t>
      </w:r>
      <w:r>
        <w:rPr>
          <w:rFonts w:hint="eastAsia" w:ascii="仿宋_GB2312" w:hAnsi="仿宋_GB2312" w:eastAsia="仿宋_GB2312" w:cs="仿宋_GB2312"/>
          <w:color w:val="auto"/>
          <w:sz w:val="32"/>
          <w:szCs w:val="32"/>
          <w:lang w:val="en-US" w:eastAsia="zh-CN"/>
        </w:rPr>
        <w:t>（责任单位：市工业和信息化局；各县区人民政府，江南新兴产业集中区管委会、开发区管委会）</w:t>
      </w:r>
    </w:p>
    <w:p w14:paraId="4A7219D6">
      <w:pPr>
        <w:keepNext w:val="0"/>
        <w:keepLines w:val="0"/>
        <w:pageBreakBefore w:val="0"/>
        <w:widowControl w:val="0"/>
        <w:suppressLineNumbers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（五）打造精益化管理示范企业。</w:t>
      </w:r>
      <w:r>
        <w:rPr>
          <w:rFonts w:hint="eastAsia" w:ascii="仿宋_GB2312" w:hAnsi="仿宋_GB2312" w:eastAsia="仿宋_GB2312" w:cs="仿宋_GB2312"/>
          <w:color w:val="auto"/>
          <w:sz w:val="32"/>
          <w:szCs w:val="32"/>
          <w:lang w:val="en-US" w:eastAsia="zh-CN"/>
        </w:rPr>
        <w:t>支持企业全面提升管理水平，遴选1</w:t>
      </w:r>
      <w:r>
        <w:rPr>
          <w:rFonts w:hint="default"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lang w:val="en-US" w:eastAsia="zh-CN"/>
        </w:rPr>
        <w:t>家企业作为示范。通过基于两化融合的精益化管理推动企业在生产经营管理、行政管理、安全管理等领域运用先进的管理工具和方法，探索数字化转型，实现管理能力明显增强，市场竞争力显著提升。（责任单位：市工业和信息化局；各县区人民政府，江南新兴产业集中区管委会、开发区管委会）</w:t>
      </w:r>
    </w:p>
    <w:p w14:paraId="2DDCC1A1">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kern w:val="0"/>
          <w:sz w:val="32"/>
          <w:szCs w:val="32"/>
          <w:lang w:val="en-US" w:eastAsia="zh-CN" w:bidi="ar"/>
        </w:rPr>
        <w:t>三、保障措施</w:t>
      </w:r>
    </w:p>
    <w:p w14:paraId="5B65B848">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市数字化转型工作专班</w:t>
      </w:r>
      <w:r>
        <w:rPr>
          <w:rFonts w:hint="eastAsia" w:ascii="仿宋_GB2312" w:hAnsi="仿宋_GB2312" w:eastAsia="仿宋_GB2312" w:cs="仿宋_GB2312"/>
          <w:color w:val="auto"/>
          <w:sz w:val="32"/>
          <w:szCs w:val="32"/>
          <w:lang w:val="en-US" w:eastAsia="zh-CN"/>
        </w:rPr>
        <w:t>成员单位要切实提高企业服务水平，做好培育企业指导，协调解决各类问题，确保培育工作取得实效。加大财政、金融支持力度，落实好</w:t>
      </w:r>
      <w:r>
        <w:rPr>
          <w:rFonts w:hint="eastAsia" w:ascii="仿宋_GB2312" w:hAnsi="仿宋_GB2312" w:eastAsia="仿宋_GB2312" w:cs="仿宋_GB2312"/>
          <w:sz w:val="32"/>
          <w:szCs w:val="32"/>
          <w:lang w:eastAsia="zh-CN"/>
        </w:rPr>
        <w:t>省支持以数字化转型推动制造业高端化智能化绿色化发展若干政策（2024版）及市相关政策。</w:t>
      </w:r>
      <w:r>
        <w:rPr>
          <w:rFonts w:hint="eastAsia" w:ascii="仿宋_GB2312" w:hAnsi="仿宋_GB2312" w:eastAsia="仿宋_GB2312" w:cs="仿宋_GB2312"/>
          <w:color w:val="auto"/>
          <w:sz w:val="32"/>
          <w:szCs w:val="32"/>
          <w:lang w:val="en-US" w:eastAsia="zh-CN"/>
        </w:rPr>
        <w:t>（责任单位：市工业和信息化局、市发展改革委、市科技局、市数据资源管理局；各县区人民政府，江南新兴产业集中区管委会、开发区管委会）</w:t>
      </w:r>
    </w:p>
    <w:p w14:paraId="77B92705">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09B00EC8">
      <w:pPr>
        <w:keepNext w:val="0"/>
        <w:keepLines w:val="0"/>
        <w:pageBreakBefore w:val="0"/>
        <w:widowControl w:val="0"/>
        <w:kinsoku/>
        <w:wordWrap/>
        <w:overflowPunct/>
        <w:topLinePunct w:val="0"/>
        <w:autoSpaceDE/>
        <w:autoSpaceDN/>
        <w:bidi w:val="0"/>
        <w:adjustRightInd/>
        <w:snapToGrid/>
        <w:spacing w:line="560" w:lineRule="exact"/>
        <w:ind w:firstLine="616" w:firstLineChars="200"/>
        <w:textAlignment w:val="auto"/>
        <w:rPr>
          <w:rFonts w:hint="eastAsia" w:ascii="CESI宋体-GB18030" w:hAnsi="CESI宋体-GB18030" w:eastAsia="方正楷体_GBK"/>
          <w:color w:val="000000"/>
          <w:sz w:val="32"/>
          <w:szCs w:val="32"/>
        </w:rPr>
      </w:pPr>
      <w:r>
        <w:rPr>
          <w:rFonts w:hint="eastAsia" w:ascii="仿宋_GB2312" w:hAnsi="仿宋_GB2312" w:eastAsia="仿宋_GB2312" w:cs="仿宋_GB2312"/>
          <w:color w:val="auto"/>
          <w:spacing w:val="-6"/>
          <w:sz w:val="32"/>
          <w:szCs w:val="32"/>
          <w:lang w:val="en-US" w:eastAsia="zh-CN"/>
        </w:rPr>
        <w:t>附件：池州市数字化转型创新发展示范培育标准对标导引</w:t>
      </w:r>
    </w:p>
    <w:p w14:paraId="0758404E">
      <w:r>
        <w:br w:type="page"/>
      </w:r>
    </w:p>
    <w:p w14:paraId="4B049FFA">
      <w:pPr>
        <w:keepNext w:val="0"/>
        <w:keepLines w:val="0"/>
        <w:pageBreakBefore w:val="0"/>
        <w:widowControl w:val="0"/>
        <w:suppressLineNumbers w:val="0"/>
        <w:kinsoku/>
        <w:wordWrap/>
        <w:overflowPunct/>
        <w:topLinePunct w:val="0"/>
        <w:autoSpaceDE/>
        <w:autoSpaceDN/>
        <w:bidi w:val="0"/>
        <w:adjustRightInd/>
        <w:snapToGrid/>
        <w:spacing w:line="580" w:lineRule="exact"/>
        <w:jc w:val="both"/>
        <w:textAlignment w:val="auto"/>
        <w:rPr>
          <w:rFonts w:hint="default" w:ascii="黑体" w:hAnsi="黑体" w:eastAsia="黑体" w:cs="黑体"/>
          <w:color w:val="auto"/>
          <w:kern w:val="0"/>
          <w:sz w:val="29"/>
          <w:szCs w:val="29"/>
          <w:lang w:val="en-US" w:eastAsia="zh-CN" w:bidi="ar"/>
        </w:rPr>
      </w:pPr>
      <w:r>
        <w:rPr>
          <w:rFonts w:hint="eastAsia" w:ascii="黑体" w:hAnsi="黑体" w:eastAsia="黑体" w:cs="黑体"/>
          <w:color w:val="auto"/>
          <w:kern w:val="0"/>
          <w:sz w:val="30"/>
          <w:szCs w:val="30"/>
          <w:lang w:val="en-US" w:eastAsia="zh-CN" w:bidi="ar"/>
        </w:rPr>
        <w:t>附件</w:t>
      </w:r>
    </w:p>
    <w:p w14:paraId="7662A33A">
      <w:pPr>
        <w:keepNext w:val="0"/>
        <w:keepLines w:val="0"/>
        <w:pageBreakBefore w:val="0"/>
        <w:widowControl w:val="0"/>
        <w:suppressLineNumbers w:val="0"/>
        <w:kinsoku/>
        <w:wordWrap/>
        <w:overflowPunct/>
        <w:topLinePunct w:val="0"/>
        <w:autoSpaceDE/>
        <w:autoSpaceDN/>
        <w:bidi w:val="0"/>
        <w:adjustRightInd/>
        <w:snapToGrid/>
        <w:spacing w:line="580" w:lineRule="exact"/>
        <w:jc w:val="both"/>
        <w:textAlignment w:val="auto"/>
        <w:rPr>
          <w:rFonts w:hint="eastAsia" w:ascii="黑体" w:hAnsi="黑体" w:eastAsia="黑体" w:cs="黑体"/>
          <w:color w:val="auto"/>
          <w:kern w:val="0"/>
          <w:sz w:val="29"/>
          <w:szCs w:val="29"/>
          <w:lang w:val="en-US" w:eastAsia="zh-CN" w:bidi="ar"/>
        </w:rPr>
      </w:pPr>
    </w:p>
    <w:p w14:paraId="78705F67">
      <w:pPr>
        <w:keepNext w:val="0"/>
        <w:keepLines w:val="0"/>
        <w:pageBreakBefore w:val="0"/>
        <w:widowControl w:val="0"/>
        <w:suppressLineNumbers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池州市数字化转型创新发展示范</w:t>
      </w:r>
    </w:p>
    <w:p w14:paraId="68202FCC">
      <w:pPr>
        <w:keepNext w:val="0"/>
        <w:keepLines w:val="0"/>
        <w:pageBreakBefore w:val="0"/>
        <w:widowControl w:val="0"/>
        <w:suppressLineNumbers w:val="0"/>
        <w:kinsoku/>
        <w:wordWrap/>
        <w:overflowPunct/>
        <w:topLinePunct w:val="0"/>
        <w:autoSpaceDE/>
        <w:autoSpaceDN/>
        <w:bidi w:val="0"/>
        <w:adjustRightInd/>
        <w:snapToGrid/>
        <w:spacing w:line="580" w:lineRule="exact"/>
        <w:jc w:val="center"/>
        <w:textAlignment w:val="auto"/>
        <w:rPr>
          <w:color w:val="auto"/>
        </w:rPr>
      </w:pPr>
      <w:r>
        <w:rPr>
          <w:rFonts w:hint="eastAsia" w:ascii="方正小标宋简体" w:hAnsi="方正小标宋简体" w:eastAsia="方正小标宋简体" w:cs="方正小标宋简体"/>
          <w:color w:val="auto"/>
          <w:sz w:val="44"/>
          <w:szCs w:val="44"/>
          <w:lang w:val="en-US" w:eastAsia="zh-CN"/>
        </w:rPr>
        <w:t>培育标准对标导引</w:t>
      </w:r>
    </w:p>
    <w:p w14:paraId="35B04360">
      <w:pPr>
        <w:keepNext w:val="0"/>
        <w:keepLines w:val="0"/>
        <w:pageBreakBefore w:val="0"/>
        <w:widowControl w:val="0"/>
        <w:suppressLineNumbers w:val="0"/>
        <w:kinsoku/>
        <w:wordWrap/>
        <w:overflowPunct/>
        <w:topLinePunct w:val="0"/>
        <w:autoSpaceDE/>
        <w:autoSpaceDN/>
        <w:bidi w:val="0"/>
        <w:adjustRightInd/>
        <w:snapToGrid/>
        <w:spacing w:line="600" w:lineRule="exact"/>
        <w:jc w:val="both"/>
        <w:textAlignment w:val="auto"/>
        <w:rPr>
          <w:rFonts w:hint="eastAsia" w:ascii="新宋体" w:hAnsi="新宋体" w:eastAsia="新宋体" w:cs="新宋体"/>
          <w:color w:val="auto"/>
          <w:kern w:val="0"/>
          <w:sz w:val="30"/>
          <w:szCs w:val="30"/>
          <w:lang w:val="en-US" w:eastAsia="zh-CN" w:bidi="ar"/>
        </w:rPr>
      </w:pPr>
    </w:p>
    <w:p w14:paraId="6C2FC161">
      <w:pPr>
        <w:keepNext w:val="0"/>
        <w:keepLines w:val="0"/>
        <w:pageBreakBefore w:val="0"/>
        <w:widowControl w:val="0"/>
        <w:numPr>
          <w:ilvl w:val="0"/>
          <w:numId w:val="1"/>
        </w:numPr>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color w:val="auto"/>
          <w:kern w:val="0"/>
          <w:sz w:val="32"/>
          <w:szCs w:val="32"/>
          <w:lang w:val="en-US" w:eastAsia="zh-CN" w:bidi="ar"/>
        </w:rPr>
      </w:pPr>
      <w:r>
        <w:rPr>
          <w:rFonts w:hint="eastAsia" w:ascii="黑体" w:hAnsi="黑体" w:eastAsia="黑体" w:cs="黑体"/>
          <w:color w:val="auto"/>
          <w:kern w:val="0"/>
          <w:sz w:val="32"/>
          <w:szCs w:val="32"/>
          <w:lang w:val="en-US" w:eastAsia="zh-CN" w:bidi="ar"/>
        </w:rPr>
        <w:t>工业互联网平台建设示范</w:t>
      </w:r>
    </w:p>
    <w:p w14:paraId="7552898B">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企业明确专业运营和管理团队开展平台研发、建设与运维，按照完整的工业互联网平台参考架构打造平台，涵盖边缘层、工业PaaS层、工业SaaS层，对大数据、云计算、物联网等技术加强积累和应用。强化云计算、大数据、计算机等专业应用，平台能连接企业内生产设备和管理系统和工业设备，具备数个工业模型、工业APP、云化软件或平台功能模块，形成面向特定场景的落地解决方案和示范性落地案例，对企业提质降本增效方面发挥重要作用。</w:t>
      </w:r>
    </w:p>
    <w:p w14:paraId="61B82895">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二、5G全连接工厂示范</w:t>
      </w:r>
      <w:r>
        <w:rPr>
          <w:rFonts w:hint="eastAsia" w:ascii="仿宋_GB2312" w:hAnsi="仿宋_GB2312" w:eastAsia="仿宋_GB2312" w:cs="仿宋_GB2312"/>
          <w:color w:val="auto"/>
          <w:sz w:val="32"/>
          <w:szCs w:val="32"/>
          <w:lang w:val="en-US" w:eastAsia="zh-CN"/>
        </w:rPr>
        <w:t xml:space="preserve"> </w:t>
      </w:r>
    </w:p>
    <w:p w14:paraId="1A368EE0">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企业采用虚拟专网、混合专网等方式部署 5G 网络，加快用户平面功能（UPF）等5G核心网元建设。综合利用5G、时间敏感网络（TSN）、软件定义网络（SDN）等新型网络技术，推动企业办公、生产管理、监控预警、工业控制、物联等网络互通。利用装备网络化改造，提升工业数据实时采集能力，对具有移动部署、灵活作业、远程操控等需求设备，积极使用带有 5G 功能的芯片、模组、传感器等进行改造，加快 5G 与可编程逻辑控制器（PLC）、分布式控制系统（DCS）等工业控制系统融合。推动5G在关键环节应用，提高在研发设计、生产运行、检测监测、仓储物流、运营管理等方面交互能力。</w:t>
      </w:r>
    </w:p>
    <w:p w14:paraId="539F0DD1">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三、数字化转型典型示范</w:t>
      </w:r>
    </w:p>
    <w:p w14:paraId="2826AE32">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企业聚焦全要素、全流程、全生态数字化转型，开展平台化设计、智能化制造、网络化协同、个性化定制、服务化延伸、数字化管理等业务创新，提升成本、质量、效益、绿色、安全等方面成效。围绕提升基础零部件和元器件、基础材料、工业基础软件、基础制造工艺及装备自主配套能力实施技术改造，进一步提升工业制成品的质量可靠性、稳定性和一致性。围绕产业链发展堵点、难点、痛点，通过实施技术改造，进一步补齐短板，提升产业链供应链韧性和安全水平。围绕增加绿色供给，实施绿色制造项目，促进技术工艺产业化提升，增加工业节能低碳、环保减排、工业资源综合利用、工业水资源节约领域的产品装备和工业基础软件供给。</w:t>
      </w:r>
    </w:p>
    <w:p w14:paraId="09CE6FA6">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四、精益化管理示范</w:t>
      </w:r>
    </w:p>
    <w:p w14:paraId="424B9DF0">
      <w:pPr>
        <w:keepNext w:val="0"/>
        <w:keepLines w:val="0"/>
        <w:pageBreakBefore w:val="0"/>
        <w:widowControl w:val="0"/>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eastAsia="仿宋_GB2312"/>
          <w:lang w:val="en-US" w:eastAsia="zh-CN"/>
        </w:rPr>
      </w:pPr>
      <w:r>
        <w:rPr>
          <w:rFonts w:hint="eastAsia" w:ascii="仿宋_GB2312" w:hAnsi="仿宋_GB2312" w:eastAsia="仿宋_GB2312" w:cs="仿宋_GB2312"/>
          <w:color w:val="auto"/>
          <w:sz w:val="32"/>
          <w:szCs w:val="32"/>
          <w:lang w:val="en-US" w:eastAsia="zh-CN"/>
        </w:rPr>
        <w:t>企业通过工业工程方法与精益生产方法等开展整体生产效率现状评估、分析、规划、改善、固化，提升生产效率。通过精益生产工具、六西格玛方法，开展整体品质管理现状评估、分析、规划、改善等，实现来料质量、过程质量及客户质量的提升。通过价值流（VSM)、 生产计划控制（PMC)、供应链管理等工具方法，开展整体制造交付水平现状评估、分析、规划、改善，实现生产准时交付率提升、制造周期的缩短。通过全员生产设备维护（TPM)、设备全生命周期管理、设备综合效率（OEE)、设备安全分析（JSA)等工具方法，开展设备管理现状评估、分析、规划、优化改善，实现设备安全管理、设备保全管理、设备稳定高效运作及效率最大化</w:t>
      </w:r>
      <w:r>
        <w:rPr>
          <w:rFonts w:hint="eastAsia" w:ascii="仿宋_GB2312" w:hAnsi="仿宋_GB2312" w:eastAsia="仿宋_GB2312" w:cs="仿宋_GB2312"/>
          <w:color w:val="auto"/>
          <w:sz w:val="32"/>
          <w:szCs w:val="32"/>
          <w:lang w:eastAsia="zh-CN"/>
        </w:rPr>
        <w:t>。</w:t>
      </w:r>
    </w:p>
    <w:p w14:paraId="77513A66">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CESI宋体-GB18030">
    <w:altName w:val="宋体"/>
    <w:panose1 w:val="02000500000000000000"/>
    <w:charset w:val="86"/>
    <w:family w:val="auto"/>
    <w:pitch w:val="default"/>
    <w:sig w:usb0="00000000" w:usb1="00000000" w:usb2="00000016" w:usb3="00000000" w:csb0="0004000F" w:csb1="00000000"/>
  </w:font>
  <w:font w:name="方正楷体_GBK">
    <w:panose1 w:val="03000509000000000000"/>
    <w:charset w:val="86"/>
    <w:family w:val="auto"/>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4ED139"/>
    <w:multiLevelType w:val="singleLevel"/>
    <w:tmpl w:val="A94ED13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1YzgwNDhiYWU3YTE0NjcxZmNiNzM0NjA2MDNlMzQifQ=="/>
  </w:docVars>
  <w:rsids>
    <w:rsidRoot w:val="2A600F1E"/>
    <w:rsid w:val="2A600F1E"/>
    <w:rsid w:val="355D79F0"/>
    <w:rsid w:val="3C16467B"/>
    <w:rsid w:val="3E853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qFormat/>
    <w:uiPriority w:val="0"/>
    <w:pPr>
      <w:widowControl w:val="0"/>
      <w:jc w:val="both"/>
    </w:pPr>
    <w:rPr>
      <w:rFonts w:ascii="宋体" w:hAnsi="Courier New" w:eastAsia="方正仿宋_GB2312" w:cs="Courier New"/>
      <w:kern w:val="2"/>
      <w:sz w:val="32"/>
      <w:szCs w:val="24"/>
      <w:lang w:val="en-US" w:eastAsia="zh-CN"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仿宋28"/>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24" w:firstLineChars="200"/>
    </w:pPr>
    <w:rPr>
      <w:rFonts w:hint="eastAsia" w:ascii="Times New Roman" w:hAnsi="Times New Roman" w:eastAsia="仿宋" w:cs="Times New Roman"/>
      <w:spacing w:val="-6"/>
      <w:kern w:val="0"/>
      <w:sz w:val="32"/>
      <w:szCs w:val="32"/>
      <w:lang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2709</Words>
  <Characters>2781</Characters>
  <Lines>0</Lines>
  <Paragraphs>0</Paragraphs>
  <TotalTime>0</TotalTime>
  <ScaleCrop>false</ScaleCrop>
  <LinksUpToDate>false</LinksUpToDate>
  <CharactersWithSpaces>2794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2024-11-05T02:58:00Z</dcterms:created>
  <dc:creator>lenovo</dc:creator>
  <cp:lastModifiedBy>馒头馊了</cp:lastModifiedBy>
  <dcterms:modified xsi:type="dcterms:W3CDTF">2024-11-05T08:08:36Z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587415870A634A77A714EAADE4EFA39F_13</vt:lpwstr>
  </property>
</Properties>
</file>