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D0E2CE">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outlineLvl w:val="9"/>
        <w:rPr>
          <w:rFonts w:hint="eastAsia" w:ascii="方正小标宋简体" w:hAnsi="Times New Roman" w:eastAsia="方正小标宋简体" w:cs="Times New Roman"/>
          <w:kern w:val="2"/>
          <w:sz w:val="44"/>
          <w:szCs w:val="44"/>
          <w:lang w:bidi="ar-SA"/>
        </w:rPr>
      </w:pPr>
      <w:r>
        <w:rPr>
          <w:rFonts w:hint="eastAsia" w:ascii="方正小标宋简体" w:hAnsi="Times New Roman" w:eastAsia="方正小标宋简体" w:cs="Times New Roman"/>
          <w:kern w:val="2"/>
          <w:sz w:val="44"/>
          <w:szCs w:val="44"/>
          <w:lang w:bidi="ar-SA"/>
        </w:rPr>
        <w:t>《池州市重大行政决策程序规定</w:t>
      </w:r>
    </w:p>
    <w:p w14:paraId="7B7DC8E9">
      <w:pPr>
        <w:keepNext w:val="0"/>
        <w:keepLines w:val="0"/>
        <w:pageBreakBefore w:val="0"/>
        <w:widowControl w:val="0"/>
        <w:kinsoku/>
        <w:wordWrap/>
        <w:overflowPunct/>
        <w:topLinePunct w:val="0"/>
        <w:autoSpaceDE/>
        <w:autoSpaceDN/>
        <w:bidi w:val="0"/>
        <w:adjustRightInd w:val="0"/>
        <w:snapToGrid w:val="0"/>
        <w:spacing w:line="580" w:lineRule="exact"/>
        <w:jc w:val="center"/>
        <w:textAlignment w:val="auto"/>
        <w:outlineLvl w:val="9"/>
        <w:rPr>
          <w:rFonts w:hint="eastAsia" w:ascii="方正小标宋简体" w:hAnsi="Times New Roman" w:eastAsia="方正小标宋简体" w:cs="Times New Roman"/>
          <w:kern w:val="2"/>
          <w:sz w:val="44"/>
          <w:szCs w:val="44"/>
          <w:lang w:bidi="ar-SA"/>
        </w:rPr>
      </w:pPr>
      <w:r>
        <w:rPr>
          <w:rFonts w:hint="eastAsia" w:ascii="方正小标宋简体" w:hAnsi="Times New Roman" w:eastAsia="方正小标宋简体" w:cs="Times New Roman"/>
          <w:kern w:val="2"/>
          <w:sz w:val="44"/>
          <w:szCs w:val="44"/>
          <w:lang w:eastAsia="zh-CN" w:bidi="ar-SA"/>
        </w:rPr>
        <w:t>（</w:t>
      </w:r>
      <w:r>
        <w:rPr>
          <w:rFonts w:hint="eastAsia" w:ascii="方正小标宋简体" w:hAnsi="Times New Roman" w:eastAsia="方正小标宋简体" w:cs="Times New Roman"/>
          <w:kern w:val="2"/>
          <w:sz w:val="44"/>
          <w:szCs w:val="44"/>
          <w:lang w:val="en-US" w:eastAsia="zh-CN" w:bidi="ar-SA"/>
        </w:rPr>
        <w:t>征求意见稿</w:t>
      </w:r>
      <w:r>
        <w:rPr>
          <w:rFonts w:hint="eastAsia" w:ascii="方正小标宋简体" w:hAnsi="Times New Roman" w:eastAsia="方正小标宋简体" w:cs="Times New Roman"/>
          <w:kern w:val="2"/>
          <w:sz w:val="44"/>
          <w:szCs w:val="44"/>
          <w:lang w:eastAsia="zh-CN" w:bidi="ar-SA"/>
        </w:rPr>
        <w:t>）</w:t>
      </w:r>
      <w:r>
        <w:rPr>
          <w:rFonts w:hint="eastAsia" w:ascii="方正小标宋简体" w:hAnsi="Times New Roman" w:eastAsia="方正小标宋简体" w:cs="Times New Roman"/>
          <w:kern w:val="2"/>
          <w:sz w:val="44"/>
          <w:szCs w:val="44"/>
          <w:lang w:bidi="ar-SA"/>
        </w:rPr>
        <w:t>》的</w:t>
      </w:r>
      <w:r>
        <w:rPr>
          <w:rFonts w:hint="eastAsia" w:ascii="方正小标宋简体" w:hAnsi="Times New Roman" w:eastAsia="方正小标宋简体" w:cs="Times New Roman"/>
          <w:kern w:val="2"/>
          <w:sz w:val="44"/>
          <w:szCs w:val="44"/>
          <w:lang w:val="en-US" w:eastAsia="zh-CN" w:bidi="ar-SA"/>
        </w:rPr>
        <w:t>修订</w:t>
      </w:r>
      <w:r>
        <w:rPr>
          <w:rFonts w:hint="eastAsia" w:ascii="方正小标宋简体" w:hAnsi="Times New Roman" w:eastAsia="方正小标宋简体" w:cs="Times New Roman"/>
          <w:kern w:val="2"/>
          <w:sz w:val="44"/>
          <w:szCs w:val="44"/>
          <w:lang w:bidi="ar-SA"/>
        </w:rPr>
        <w:t>说明</w:t>
      </w:r>
    </w:p>
    <w:p w14:paraId="5426372A">
      <w:pPr>
        <w:pStyle w:val="2"/>
        <w:rPr>
          <w:rFonts w:hint="eastAsia"/>
        </w:rPr>
      </w:pPr>
    </w:p>
    <w:p w14:paraId="6362D44C">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为全面落实党中央、国务院、省</w:t>
      </w:r>
      <w:r>
        <w:rPr>
          <w:rFonts w:hint="eastAsia" w:ascii="仿宋_GB2312" w:hAnsi="仿宋_GB2312" w:eastAsia="仿宋_GB2312" w:cs="仿宋_GB2312"/>
          <w:sz w:val="32"/>
          <w:szCs w:val="32"/>
          <w:lang w:val="en-US" w:eastAsia="zh-CN"/>
        </w:rPr>
        <w:t>政府</w:t>
      </w:r>
      <w:r>
        <w:rPr>
          <w:rFonts w:hint="eastAsia" w:ascii="仿宋_GB2312" w:hAnsi="仿宋_GB2312" w:eastAsia="仿宋_GB2312" w:cs="仿宋_GB2312"/>
          <w:sz w:val="32"/>
          <w:szCs w:val="32"/>
        </w:rPr>
        <w:t>关于规范政府重大行政决策程序的要求，市</w:t>
      </w:r>
      <w:r>
        <w:rPr>
          <w:rFonts w:hint="eastAsia" w:ascii="仿宋_GB2312" w:hAnsi="仿宋_GB2312" w:eastAsia="仿宋_GB2312" w:cs="仿宋_GB2312"/>
          <w:sz w:val="32"/>
          <w:szCs w:val="32"/>
          <w:lang w:val="en-US" w:eastAsia="zh-CN"/>
        </w:rPr>
        <w:t>司法局起草了《池州市重大行政决策程序规定（征求意见稿）》（以下简称《程序规定》）</w:t>
      </w:r>
      <w:r>
        <w:rPr>
          <w:rFonts w:hint="eastAsia" w:ascii="仿宋_GB2312" w:hAnsi="仿宋_GB2312" w:eastAsia="仿宋_GB2312" w:cs="仿宋_GB2312"/>
          <w:sz w:val="32"/>
          <w:szCs w:val="32"/>
        </w:rPr>
        <w:t>，现将相关情况说明如下：</w:t>
      </w:r>
    </w:p>
    <w:p w14:paraId="2A4ABDB7">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一、修订背景和必要性</w:t>
      </w:r>
    </w:p>
    <w:p w14:paraId="42C8AF8D">
      <w:pPr>
        <w:keepNext w:val="0"/>
        <w:keepLines w:val="0"/>
        <w:pageBreakBefore w:val="0"/>
        <w:widowControl w:val="0"/>
        <w:kinsoku/>
        <w:wordWrap/>
        <w:overflowPunct/>
        <w:topLinePunct w:val="0"/>
        <w:autoSpaceDE/>
        <w:autoSpaceDN/>
        <w:bidi w:val="0"/>
        <w:adjustRightInd/>
        <w:snapToGrid/>
        <w:spacing w:line="580" w:lineRule="exact"/>
        <w:ind w:left="0" w:leftChars="0" w:firstLine="620" w:firstLineChars="200"/>
        <w:jc w:val="both"/>
        <w:textAlignment w:val="auto"/>
        <w:rPr>
          <w:rFonts w:hint="default" w:ascii="仿宋_GB2312" w:hAnsi="宋体" w:eastAsia="仿宋_GB2312" w:cs="仿宋_GB2312"/>
          <w:color w:val="000000"/>
          <w:kern w:val="0"/>
          <w:sz w:val="31"/>
          <w:szCs w:val="31"/>
          <w:lang w:val="en-US" w:eastAsia="zh-CN" w:bidi="ar"/>
        </w:rPr>
      </w:pPr>
      <w:r>
        <w:rPr>
          <w:rFonts w:hint="default" w:ascii="仿宋_GB2312" w:hAnsi="宋体" w:eastAsia="仿宋_GB2312" w:cs="仿宋_GB2312"/>
          <w:color w:val="000000"/>
          <w:kern w:val="0"/>
          <w:sz w:val="31"/>
          <w:szCs w:val="31"/>
          <w:lang w:val="en-US" w:eastAsia="zh-CN" w:bidi="ar"/>
        </w:rPr>
        <w:t>为全面落实党中央、国务院、省</w:t>
      </w:r>
      <w:r>
        <w:rPr>
          <w:rFonts w:hint="eastAsia" w:ascii="仿宋_GB2312" w:hAnsi="宋体" w:eastAsia="仿宋_GB2312" w:cs="仿宋_GB2312"/>
          <w:color w:val="000000"/>
          <w:kern w:val="0"/>
          <w:sz w:val="31"/>
          <w:szCs w:val="31"/>
          <w:lang w:val="en-US" w:eastAsia="zh-CN" w:bidi="ar"/>
        </w:rPr>
        <w:t>政府</w:t>
      </w:r>
      <w:r>
        <w:rPr>
          <w:rFonts w:hint="default" w:ascii="仿宋_GB2312" w:hAnsi="宋体" w:eastAsia="仿宋_GB2312" w:cs="仿宋_GB2312"/>
          <w:color w:val="000000"/>
          <w:kern w:val="0"/>
          <w:sz w:val="31"/>
          <w:szCs w:val="31"/>
          <w:lang w:val="en-US" w:eastAsia="zh-CN" w:bidi="ar"/>
        </w:rPr>
        <w:t>关于规范政府重大行政决策程序的要求，监督重大行政决策行为，提高决策质量和效率，明确决策责任，</w:t>
      </w:r>
      <w:r>
        <w:rPr>
          <w:rFonts w:hint="eastAsia" w:ascii="仿宋_GB2312" w:hAnsi="宋体" w:eastAsia="仿宋_GB2312" w:cs="仿宋_GB2312"/>
          <w:color w:val="000000"/>
          <w:kern w:val="0"/>
          <w:sz w:val="31"/>
          <w:szCs w:val="31"/>
          <w:lang w:val="en-US" w:eastAsia="zh-CN" w:bidi="ar"/>
        </w:rPr>
        <w:t>针对本市</w:t>
      </w:r>
      <w:r>
        <w:rPr>
          <w:rFonts w:hint="default" w:ascii="仿宋_GB2312" w:hAnsi="宋体" w:eastAsia="仿宋_GB2312" w:cs="仿宋_GB2312"/>
          <w:color w:val="000000"/>
          <w:kern w:val="0"/>
          <w:sz w:val="31"/>
          <w:szCs w:val="31"/>
          <w:lang w:val="en-US" w:eastAsia="zh-CN" w:bidi="ar"/>
        </w:rPr>
        <w:t>实践</w:t>
      </w:r>
      <w:r>
        <w:rPr>
          <w:rFonts w:hint="eastAsia" w:ascii="仿宋_GB2312" w:hAnsi="宋体" w:eastAsia="仿宋_GB2312" w:cs="仿宋_GB2312"/>
          <w:color w:val="000000"/>
          <w:kern w:val="0"/>
          <w:sz w:val="31"/>
          <w:szCs w:val="31"/>
          <w:lang w:val="en-US" w:eastAsia="zh-CN" w:bidi="ar"/>
        </w:rPr>
        <w:t>中</w:t>
      </w:r>
      <w:r>
        <w:rPr>
          <w:rFonts w:hint="default" w:ascii="仿宋_GB2312" w:hAnsi="宋体" w:eastAsia="仿宋_GB2312" w:cs="仿宋_GB2312"/>
          <w:color w:val="000000"/>
          <w:kern w:val="0"/>
          <w:sz w:val="31"/>
          <w:szCs w:val="31"/>
          <w:lang w:val="en-US" w:eastAsia="zh-CN" w:bidi="ar"/>
        </w:rPr>
        <w:t>存在公众参与的实效不</w:t>
      </w:r>
      <w:r>
        <w:rPr>
          <w:rFonts w:hint="eastAsia" w:ascii="仿宋_GB2312" w:hAnsi="宋体" w:eastAsia="仿宋_GB2312" w:cs="仿宋_GB2312"/>
          <w:color w:val="000000"/>
          <w:kern w:val="0"/>
          <w:sz w:val="31"/>
          <w:szCs w:val="31"/>
          <w:lang w:val="en-US" w:eastAsia="zh-CN" w:bidi="ar"/>
        </w:rPr>
        <w:t>够</w:t>
      </w:r>
      <w:r>
        <w:rPr>
          <w:rFonts w:hint="default" w:ascii="仿宋_GB2312" w:hAnsi="宋体" w:eastAsia="仿宋_GB2312" w:cs="仿宋_GB2312"/>
          <w:color w:val="000000"/>
          <w:kern w:val="0"/>
          <w:sz w:val="31"/>
          <w:szCs w:val="31"/>
          <w:lang w:val="en-US" w:eastAsia="zh-CN" w:bidi="ar"/>
        </w:rPr>
        <w:t>明显、专家论证的质量</w:t>
      </w:r>
      <w:r>
        <w:rPr>
          <w:rFonts w:hint="eastAsia" w:ascii="仿宋_GB2312" w:hAnsi="宋体" w:eastAsia="仿宋_GB2312" w:cs="仿宋_GB2312"/>
          <w:color w:val="000000"/>
          <w:kern w:val="0"/>
          <w:sz w:val="31"/>
          <w:szCs w:val="31"/>
          <w:lang w:val="en-US" w:eastAsia="zh-CN" w:bidi="ar"/>
        </w:rPr>
        <w:t>有待进一步提</w:t>
      </w:r>
      <w:r>
        <w:rPr>
          <w:rFonts w:hint="default" w:ascii="仿宋_GB2312" w:hAnsi="宋体" w:eastAsia="仿宋_GB2312" w:cs="仿宋_GB2312"/>
          <w:color w:val="000000"/>
          <w:kern w:val="0"/>
          <w:sz w:val="31"/>
          <w:szCs w:val="31"/>
          <w:lang w:val="en-US" w:eastAsia="zh-CN" w:bidi="ar"/>
        </w:rPr>
        <w:t>高、决策风险的防范有待</w:t>
      </w:r>
      <w:r>
        <w:rPr>
          <w:rFonts w:hint="eastAsia" w:ascii="仿宋_GB2312" w:hAnsi="宋体" w:eastAsia="仿宋_GB2312" w:cs="仿宋_GB2312"/>
          <w:color w:val="000000"/>
          <w:kern w:val="0"/>
          <w:sz w:val="31"/>
          <w:szCs w:val="31"/>
          <w:lang w:val="en-US" w:eastAsia="zh-CN" w:bidi="ar"/>
        </w:rPr>
        <w:t>进一步</w:t>
      </w:r>
      <w:r>
        <w:rPr>
          <w:rFonts w:hint="default" w:ascii="仿宋_GB2312" w:hAnsi="宋体" w:eastAsia="仿宋_GB2312" w:cs="仿宋_GB2312"/>
          <w:color w:val="000000"/>
          <w:kern w:val="0"/>
          <w:sz w:val="31"/>
          <w:szCs w:val="31"/>
          <w:lang w:val="en-US" w:eastAsia="zh-CN" w:bidi="ar"/>
        </w:rPr>
        <w:t>加强等问题，我市根据《公平竞争审查条例》、《安徽省重大行政决策程序规定》（省政府令300号）等有关规定，进一步细化和补充我市重大行政决策程序的制度规定</w:t>
      </w:r>
      <w:r>
        <w:rPr>
          <w:rFonts w:hint="eastAsia" w:ascii="仿宋_GB2312" w:hAnsi="宋体" w:eastAsia="仿宋_GB2312" w:cs="仿宋_GB2312"/>
          <w:color w:val="000000"/>
          <w:kern w:val="0"/>
          <w:sz w:val="31"/>
          <w:szCs w:val="31"/>
          <w:lang w:val="en-US" w:eastAsia="zh-CN" w:bidi="ar"/>
        </w:rPr>
        <w:t>，修订了</w:t>
      </w:r>
      <w:r>
        <w:rPr>
          <w:rFonts w:hint="default" w:ascii="仿宋_GB2312" w:hAnsi="宋体" w:eastAsia="仿宋_GB2312" w:cs="仿宋_GB2312"/>
          <w:color w:val="000000"/>
          <w:kern w:val="0"/>
          <w:sz w:val="31"/>
          <w:szCs w:val="31"/>
          <w:lang w:val="en-US" w:eastAsia="zh-CN" w:bidi="ar"/>
        </w:rPr>
        <w:t>《池州市重大行政决策程序规定</w:t>
      </w:r>
      <w:r>
        <w:rPr>
          <w:rFonts w:hint="eastAsia" w:ascii="仿宋_GB2312" w:hAnsi="宋体" w:eastAsia="仿宋_GB2312" w:cs="仿宋_GB2312"/>
          <w:color w:val="000000"/>
          <w:kern w:val="0"/>
          <w:sz w:val="31"/>
          <w:szCs w:val="31"/>
          <w:lang w:val="en-US" w:eastAsia="zh-CN" w:bidi="ar"/>
        </w:rPr>
        <w:t>（征求意见稿）</w:t>
      </w:r>
      <w:r>
        <w:rPr>
          <w:rFonts w:hint="default" w:ascii="仿宋_GB2312" w:hAnsi="宋体" w:eastAsia="仿宋_GB2312" w:cs="仿宋_GB2312"/>
          <w:color w:val="000000"/>
          <w:kern w:val="0"/>
          <w:sz w:val="31"/>
          <w:szCs w:val="31"/>
          <w:lang w:val="en-US" w:eastAsia="zh-CN" w:bidi="ar"/>
        </w:rPr>
        <w:t>》（以下简称《程序规定》）。</w:t>
      </w:r>
    </w:p>
    <w:p w14:paraId="566B7DB7">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二、文件修订过程</w:t>
      </w:r>
    </w:p>
    <w:p w14:paraId="6B67E34B">
      <w:pPr>
        <w:keepNext w:val="0"/>
        <w:keepLines w:val="0"/>
        <w:pageBreakBefore w:val="0"/>
        <w:widowControl w:val="0"/>
        <w:kinsoku/>
        <w:wordWrap/>
        <w:overflowPunct/>
        <w:topLinePunct w:val="0"/>
        <w:autoSpaceDE/>
        <w:autoSpaceDN/>
        <w:bidi w:val="0"/>
        <w:adjustRightInd/>
        <w:snapToGrid/>
        <w:spacing w:line="580" w:lineRule="exact"/>
        <w:ind w:firstLine="620" w:firstLineChars="200"/>
        <w:jc w:val="both"/>
        <w:textAlignment w:val="auto"/>
        <w:rPr>
          <w:rFonts w:hint="default" w:ascii="仿宋_GB2312" w:hAnsi="宋体" w:eastAsia="仿宋_GB2312" w:cs="仿宋_GB2312"/>
          <w:color w:val="000000"/>
          <w:kern w:val="0"/>
          <w:sz w:val="31"/>
          <w:szCs w:val="31"/>
          <w:lang w:val="en-US" w:eastAsia="zh-CN" w:bidi="ar"/>
        </w:rPr>
      </w:pPr>
      <w:r>
        <w:rPr>
          <w:rFonts w:hint="default" w:ascii="仿宋_GB2312" w:hAnsi="宋体" w:eastAsia="仿宋_GB2312" w:cs="仿宋_GB2312"/>
          <w:color w:val="000000"/>
          <w:kern w:val="0"/>
          <w:sz w:val="31"/>
          <w:szCs w:val="31"/>
          <w:lang w:val="en-US" w:eastAsia="zh-CN" w:bidi="ar"/>
        </w:rPr>
        <w:t>《程序规定》起草</w:t>
      </w:r>
      <w:r>
        <w:rPr>
          <w:rFonts w:hint="eastAsia" w:ascii="仿宋_GB2312" w:hAnsi="宋体" w:eastAsia="仿宋_GB2312" w:cs="仿宋_GB2312"/>
          <w:color w:val="000000"/>
          <w:kern w:val="0"/>
          <w:sz w:val="31"/>
          <w:szCs w:val="31"/>
          <w:lang w:val="en-US" w:eastAsia="zh-CN" w:bidi="ar"/>
        </w:rPr>
        <w:t>过程大致为：</w:t>
      </w:r>
      <w:r>
        <w:rPr>
          <w:rFonts w:hint="default" w:ascii="仿宋_GB2312" w:hAnsi="宋体" w:eastAsia="仿宋_GB2312" w:cs="仿宋_GB2312"/>
          <w:color w:val="000000"/>
          <w:kern w:val="0"/>
          <w:sz w:val="31"/>
          <w:szCs w:val="31"/>
          <w:lang w:val="en-US" w:eastAsia="zh-CN" w:bidi="ar"/>
        </w:rPr>
        <w:t>一是根据市政府领导的要求，认真研究相关文件，起草《程序规定</w:t>
      </w:r>
      <w:r>
        <w:rPr>
          <w:rFonts w:hint="eastAsia" w:ascii="仿宋_GB2312" w:hAnsi="宋体" w:eastAsia="仿宋_GB2312" w:cs="仿宋_GB2312"/>
          <w:color w:val="000000"/>
          <w:kern w:val="0"/>
          <w:sz w:val="31"/>
          <w:szCs w:val="31"/>
          <w:lang w:val="en-US" w:eastAsia="zh-CN" w:bidi="ar"/>
        </w:rPr>
        <w:t>（</w:t>
      </w:r>
      <w:r>
        <w:rPr>
          <w:rFonts w:hint="default" w:ascii="仿宋_GB2312" w:hAnsi="宋体" w:eastAsia="仿宋_GB2312" w:cs="仿宋_GB2312"/>
          <w:color w:val="000000"/>
          <w:kern w:val="0"/>
          <w:sz w:val="31"/>
          <w:szCs w:val="31"/>
          <w:lang w:val="en-US" w:eastAsia="zh-CN" w:bidi="ar"/>
        </w:rPr>
        <w:t>初稿</w:t>
      </w:r>
      <w:r>
        <w:rPr>
          <w:rFonts w:hint="eastAsia" w:ascii="仿宋_GB2312" w:hAnsi="宋体" w:eastAsia="仿宋_GB2312" w:cs="仿宋_GB2312"/>
          <w:color w:val="000000"/>
          <w:kern w:val="0"/>
          <w:sz w:val="31"/>
          <w:szCs w:val="31"/>
          <w:lang w:val="en-US" w:eastAsia="zh-CN" w:bidi="ar"/>
        </w:rPr>
        <w:t>）</w:t>
      </w:r>
      <w:r>
        <w:rPr>
          <w:rFonts w:hint="default" w:ascii="仿宋_GB2312" w:hAnsi="宋体" w:eastAsia="仿宋_GB2312" w:cs="仿宋_GB2312"/>
          <w:color w:val="000000"/>
          <w:kern w:val="0"/>
          <w:sz w:val="31"/>
          <w:szCs w:val="31"/>
          <w:lang w:val="en-US" w:eastAsia="zh-CN" w:bidi="ar"/>
        </w:rPr>
        <w:t>》。二是对初稿内容进一步修改完善，形成《程序规定</w:t>
      </w:r>
      <w:r>
        <w:rPr>
          <w:rFonts w:hint="eastAsia" w:ascii="仿宋_GB2312" w:hAnsi="宋体" w:eastAsia="仿宋_GB2312" w:cs="仿宋_GB2312"/>
          <w:color w:val="000000"/>
          <w:kern w:val="0"/>
          <w:sz w:val="31"/>
          <w:szCs w:val="31"/>
          <w:lang w:val="en-US" w:eastAsia="zh-CN" w:bidi="ar"/>
        </w:rPr>
        <w:t>（</w:t>
      </w:r>
      <w:r>
        <w:rPr>
          <w:rFonts w:hint="default" w:ascii="仿宋_GB2312" w:hAnsi="宋体" w:eastAsia="仿宋_GB2312" w:cs="仿宋_GB2312"/>
          <w:color w:val="000000"/>
          <w:kern w:val="0"/>
          <w:sz w:val="31"/>
          <w:szCs w:val="31"/>
          <w:lang w:val="en-US" w:eastAsia="zh-CN" w:bidi="ar"/>
        </w:rPr>
        <w:t>征求意见稿</w:t>
      </w:r>
      <w:r>
        <w:rPr>
          <w:rFonts w:hint="eastAsia" w:ascii="仿宋_GB2312" w:hAnsi="宋体" w:eastAsia="仿宋_GB2312" w:cs="仿宋_GB2312"/>
          <w:color w:val="000000"/>
          <w:kern w:val="0"/>
          <w:sz w:val="31"/>
          <w:szCs w:val="31"/>
          <w:lang w:val="en-US" w:eastAsia="zh-CN" w:bidi="ar"/>
        </w:rPr>
        <w:t>）</w:t>
      </w:r>
      <w:r>
        <w:rPr>
          <w:rFonts w:hint="default" w:ascii="仿宋_GB2312" w:hAnsi="宋体" w:eastAsia="仿宋_GB2312" w:cs="仿宋_GB2312"/>
          <w:color w:val="000000"/>
          <w:kern w:val="0"/>
          <w:sz w:val="31"/>
          <w:szCs w:val="31"/>
          <w:lang w:val="en-US" w:eastAsia="zh-CN" w:bidi="ar"/>
        </w:rPr>
        <w:t>》。</w:t>
      </w:r>
      <w:bookmarkStart w:id="0" w:name="_GoBack"/>
      <w:bookmarkEnd w:id="0"/>
    </w:p>
    <w:p w14:paraId="1497E12C">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color w:val="000000"/>
          <w:kern w:val="0"/>
          <w:sz w:val="32"/>
          <w:szCs w:val="32"/>
          <w:lang w:val="en-US" w:eastAsia="zh-CN" w:bidi="ar"/>
        </w:rPr>
      </w:pPr>
      <w:r>
        <w:rPr>
          <w:rFonts w:hint="eastAsia" w:ascii="黑体" w:hAnsi="黑体" w:eastAsia="黑体" w:cs="黑体"/>
          <w:color w:val="000000"/>
          <w:kern w:val="0"/>
          <w:sz w:val="32"/>
          <w:szCs w:val="32"/>
          <w:lang w:val="en-US" w:eastAsia="zh-CN" w:bidi="ar"/>
        </w:rPr>
        <w:t>三、文件主要内容</w:t>
      </w:r>
    </w:p>
    <w:p w14:paraId="6427CDA8">
      <w:pPr>
        <w:pStyle w:val="2"/>
        <w:keepNext w:val="0"/>
        <w:keepLines w:val="0"/>
        <w:pageBreakBefore w:val="0"/>
        <w:widowControl w:val="0"/>
        <w:kinsoku/>
        <w:wordWrap/>
        <w:overflowPunct/>
        <w:topLinePunct w:val="0"/>
        <w:autoSpaceDE/>
        <w:autoSpaceDN/>
        <w:bidi w:val="0"/>
        <w:adjustRightInd/>
        <w:snapToGrid/>
        <w:ind w:left="0" w:leftChars="0" w:firstLine="620" w:firstLineChars="200"/>
        <w:textAlignment w:val="center"/>
        <w:rPr>
          <w:rFonts w:hint="default" w:ascii="仿宋_GB2312" w:hAnsi="宋体" w:eastAsia="仿宋_GB2312" w:cs="仿宋_GB2312"/>
          <w:color w:val="000000"/>
          <w:kern w:val="0"/>
          <w:sz w:val="31"/>
          <w:szCs w:val="31"/>
          <w:lang w:val="en-US" w:eastAsia="zh-CN" w:bidi="ar"/>
        </w:rPr>
      </w:pPr>
      <w:r>
        <w:rPr>
          <w:rFonts w:hint="default" w:ascii="仿宋_GB2312" w:hAnsi="宋体" w:eastAsia="仿宋_GB2312" w:cs="仿宋_GB2312"/>
          <w:color w:val="000000"/>
          <w:kern w:val="0"/>
          <w:sz w:val="31"/>
          <w:szCs w:val="31"/>
          <w:lang w:val="en-US" w:eastAsia="zh-CN" w:bidi="ar"/>
        </w:rPr>
        <w:t>《程序规定》</w:t>
      </w:r>
      <w:r>
        <w:rPr>
          <w:rFonts w:hint="eastAsia" w:ascii="仿宋_GB2312" w:hAnsi="宋体" w:eastAsia="仿宋_GB2312" w:cs="仿宋_GB2312"/>
          <w:color w:val="000000"/>
          <w:kern w:val="0"/>
          <w:sz w:val="31"/>
          <w:szCs w:val="31"/>
          <w:lang w:val="en-US" w:eastAsia="zh-CN" w:bidi="ar"/>
        </w:rPr>
        <w:t>十一章七十一条</w:t>
      </w:r>
      <w:r>
        <w:rPr>
          <w:rFonts w:hint="default" w:ascii="仿宋_GB2312" w:hAnsi="宋体" w:eastAsia="仿宋_GB2312" w:cs="仿宋_GB2312"/>
          <w:color w:val="000000"/>
          <w:kern w:val="0"/>
          <w:sz w:val="31"/>
          <w:szCs w:val="31"/>
          <w:lang w:val="en-US" w:eastAsia="zh-CN" w:bidi="ar"/>
        </w:rPr>
        <w:t>，</w:t>
      </w:r>
      <w:r>
        <w:rPr>
          <w:rFonts w:hint="eastAsia" w:ascii="仿宋_GB2312" w:hAnsi="宋体" w:eastAsia="仿宋_GB2312" w:cs="仿宋_GB2312"/>
          <w:color w:val="000000"/>
          <w:kern w:val="0"/>
          <w:sz w:val="31"/>
          <w:szCs w:val="31"/>
          <w:lang w:val="en-US" w:eastAsia="zh-CN" w:bidi="ar"/>
        </w:rPr>
        <w:t>主要内容包括：</w:t>
      </w:r>
      <w:r>
        <w:rPr>
          <w:rFonts w:hint="default" w:ascii="仿宋_GB2312" w:hAnsi="宋体" w:eastAsia="仿宋_GB2312" w:cs="仿宋_GB2312"/>
          <w:color w:val="000000"/>
          <w:kern w:val="0"/>
          <w:sz w:val="31"/>
          <w:szCs w:val="31"/>
          <w:lang w:val="en-US" w:eastAsia="zh-CN" w:bidi="ar"/>
        </w:rPr>
        <w:t>总则、决策启动、公众参与、专家论证、风险评估、公平竞争审查、合法性审查、集体讨论决定和决策公布、决策执行与调整、法律责任</w:t>
      </w:r>
      <w:r>
        <w:rPr>
          <w:rFonts w:hint="eastAsia" w:ascii="仿宋_GB2312" w:hAnsi="宋体" w:eastAsia="仿宋_GB2312" w:cs="仿宋_GB2312"/>
          <w:color w:val="000000"/>
          <w:kern w:val="0"/>
          <w:sz w:val="31"/>
          <w:szCs w:val="31"/>
          <w:lang w:val="en-US" w:eastAsia="zh-CN" w:bidi="ar"/>
        </w:rPr>
        <w:t>、</w:t>
      </w:r>
      <w:r>
        <w:rPr>
          <w:rFonts w:hint="default" w:ascii="仿宋_GB2312" w:hAnsi="宋体" w:eastAsia="仿宋_GB2312" w:cs="仿宋_GB2312"/>
          <w:color w:val="000000"/>
          <w:kern w:val="0"/>
          <w:sz w:val="31"/>
          <w:szCs w:val="31"/>
          <w:lang w:val="en-US" w:eastAsia="zh-CN" w:bidi="ar"/>
        </w:rPr>
        <w:t>附则。《</w:t>
      </w:r>
      <w:r>
        <w:rPr>
          <w:rFonts w:hint="eastAsia" w:ascii="仿宋_GB2312" w:hAnsi="宋体" w:eastAsia="仿宋_GB2312" w:cs="仿宋_GB2312"/>
          <w:color w:val="000000"/>
          <w:kern w:val="0"/>
          <w:sz w:val="31"/>
          <w:szCs w:val="31"/>
          <w:lang w:val="en-US" w:eastAsia="zh-CN" w:bidi="ar"/>
        </w:rPr>
        <w:t>程序</w:t>
      </w:r>
      <w:r>
        <w:rPr>
          <w:rFonts w:hint="default" w:ascii="仿宋_GB2312" w:hAnsi="宋体" w:eastAsia="仿宋_GB2312" w:cs="仿宋_GB2312"/>
          <w:color w:val="000000"/>
          <w:kern w:val="0"/>
          <w:sz w:val="31"/>
          <w:szCs w:val="31"/>
          <w:lang w:val="en-US" w:eastAsia="zh-CN" w:bidi="ar"/>
        </w:rPr>
        <w:t>规定》在国务院和省政府有关规定的基础上，结合我市实际进一步细化和补充的有关制度规定主要体现在以下方面：</w:t>
      </w:r>
    </w:p>
    <w:p w14:paraId="077C6698">
      <w:pPr>
        <w:pStyle w:val="2"/>
        <w:ind w:left="0" w:leftChars="0" w:firstLine="620" w:firstLineChars="200"/>
        <w:rPr>
          <w:rFonts w:hint="default"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一是增加了</w:t>
      </w:r>
      <w:r>
        <w:rPr>
          <w:rFonts w:hint="default" w:ascii="仿宋_GB2312" w:hAnsi="宋体" w:eastAsia="仿宋_GB2312" w:cs="仿宋_GB2312"/>
          <w:color w:val="000000"/>
          <w:kern w:val="0"/>
          <w:sz w:val="31"/>
          <w:szCs w:val="31"/>
          <w:lang w:val="en-US" w:eastAsia="zh-CN" w:bidi="ar"/>
        </w:rPr>
        <w:t>重大行政决策应当遵循的原则</w:t>
      </w:r>
      <w:r>
        <w:rPr>
          <w:rFonts w:hint="eastAsia" w:ascii="仿宋_GB2312" w:hAnsi="宋体" w:eastAsia="仿宋_GB2312" w:cs="仿宋_GB2312"/>
          <w:color w:val="000000"/>
          <w:kern w:val="0"/>
          <w:sz w:val="31"/>
          <w:szCs w:val="31"/>
          <w:lang w:val="en-US" w:eastAsia="zh-CN" w:bidi="ar"/>
        </w:rPr>
        <w:t>，规定应遵循</w:t>
      </w:r>
      <w:r>
        <w:rPr>
          <w:rFonts w:hint="default" w:ascii="仿宋_GB2312" w:hAnsi="宋体" w:eastAsia="仿宋_GB2312" w:cs="仿宋_GB2312"/>
          <w:color w:val="000000"/>
          <w:kern w:val="0"/>
          <w:sz w:val="31"/>
          <w:szCs w:val="31"/>
          <w:lang w:val="en-US" w:eastAsia="zh-CN" w:bidi="ar"/>
        </w:rPr>
        <w:t>科学决策、民主决策、依法决策、高效决策的原则。</w:t>
      </w:r>
    </w:p>
    <w:p w14:paraId="04EE2451">
      <w:pPr>
        <w:pStyle w:val="2"/>
        <w:ind w:left="0" w:leftChars="0" w:firstLine="620" w:firstLineChars="200"/>
        <w:rPr>
          <w:rFonts w:hint="default"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二</w:t>
      </w:r>
      <w:r>
        <w:rPr>
          <w:rFonts w:hint="default" w:ascii="仿宋_GB2312" w:hAnsi="宋体" w:eastAsia="仿宋_GB2312" w:cs="仿宋_GB2312"/>
          <w:color w:val="000000"/>
          <w:kern w:val="0"/>
          <w:sz w:val="31"/>
          <w:szCs w:val="31"/>
          <w:lang w:val="en-US" w:eastAsia="zh-CN" w:bidi="ar"/>
        </w:rPr>
        <w:t>是</w:t>
      </w:r>
      <w:r>
        <w:rPr>
          <w:rFonts w:hint="eastAsia" w:ascii="仿宋_GB2312" w:hAnsi="宋体" w:eastAsia="仿宋_GB2312" w:cs="仿宋_GB2312"/>
          <w:color w:val="000000"/>
          <w:kern w:val="0"/>
          <w:sz w:val="31"/>
          <w:szCs w:val="31"/>
          <w:lang w:val="en-US" w:eastAsia="zh-CN" w:bidi="ar"/>
        </w:rPr>
        <w:t>完善了</w:t>
      </w:r>
      <w:r>
        <w:rPr>
          <w:rFonts w:hint="default" w:ascii="仿宋_GB2312" w:hAnsi="宋体" w:eastAsia="仿宋_GB2312" w:cs="仿宋_GB2312"/>
          <w:color w:val="000000"/>
          <w:kern w:val="0"/>
          <w:sz w:val="31"/>
          <w:szCs w:val="31"/>
          <w:lang w:val="en-US" w:eastAsia="zh-CN" w:bidi="ar"/>
        </w:rPr>
        <w:t>听证</w:t>
      </w:r>
      <w:r>
        <w:rPr>
          <w:rFonts w:hint="eastAsia" w:ascii="仿宋_GB2312" w:hAnsi="宋体" w:eastAsia="仿宋_GB2312" w:cs="仿宋_GB2312"/>
          <w:color w:val="000000"/>
          <w:kern w:val="0"/>
          <w:sz w:val="31"/>
          <w:szCs w:val="31"/>
          <w:lang w:val="en-US" w:eastAsia="zh-CN" w:bidi="ar"/>
        </w:rPr>
        <w:t>程序，明确听证报告内容</w:t>
      </w:r>
      <w:r>
        <w:rPr>
          <w:rFonts w:hint="default" w:ascii="仿宋_GB2312" w:hAnsi="宋体" w:eastAsia="仿宋_GB2312" w:cs="仿宋_GB2312"/>
          <w:color w:val="000000"/>
          <w:kern w:val="0"/>
          <w:sz w:val="31"/>
          <w:szCs w:val="31"/>
          <w:lang w:val="en-US" w:eastAsia="zh-CN" w:bidi="ar"/>
        </w:rPr>
        <w:t>。</w:t>
      </w:r>
    </w:p>
    <w:p w14:paraId="1120E4DE">
      <w:pPr>
        <w:pStyle w:val="2"/>
        <w:ind w:left="0" w:leftChars="0" w:firstLine="620" w:firstLineChars="200"/>
        <w:rPr>
          <w:rFonts w:hint="default"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三</w:t>
      </w:r>
      <w:r>
        <w:rPr>
          <w:rFonts w:hint="default" w:ascii="仿宋_GB2312" w:hAnsi="宋体" w:eastAsia="仿宋_GB2312" w:cs="仿宋_GB2312"/>
          <w:color w:val="000000"/>
          <w:kern w:val="0"/>
          <w:sz w:val="31"/>
          <w:szCs w:val="31"/>
          <w:lang w:val="en-US" w:eastAsia="zh-CN" w:bidi="ar"/>
        </w:rPr>
        <w:t>是</w:t>
      </w:r>
      <w:r>
        <w:rPr>
          <w:rFonts w:hint="eastAsia" w:ascii="仿宋_GB2312" w:hAnsi="宋体" w:eastAsia="仿宋_GB2312" w:cs="仿宋_GB2312"/>
          <w:color w:val="000000"/>
          <w:kern w:val="0"/>
          <w:sz w:val="31"/>
          <w:szCs w:val="31"/>
          <w:lang w:val="en-US" w:eastAsia="zh-CN" w:bidi="ar"/>
        </w:rPr>
        <w:t>明确了专家论证报告及</w:t>
      </w:r>
      <w:r>
        <w:rPr>
          <w:rFonts w:hint="default" w:ascii="仿宋_GB2312" w:hAnsi="宋体" w:eastAsia="仿宋_GB2312" w:cs="仿宋_GB2312"/>
          <w:color w:val="000000"/>
          <w:kern w:val="0"/>
          <w:sz w:val="31"/>
          <w:szCs w:val="31"/>
          <w:lang w:val="en-US" w:eastAsia="zh-CN" w:bidi="ar"/>
        </w:rPr>
        <w:t>论证结果运用</w:t>
      </w:r>
      <w:r>
        <w:rPr>
          <w:rFonts w:hint="eastAsia" w:ascii="仿宋_GB2312" w:hAnsi="宋体" w:eastAsia="仿宋_GB2312" w:cs="仿宋_GB2312"/>
          <w:color w:val="000000"/>
          <w:kern w:val="0"/>
          <w:sz w:val="31"/>
          <w:szCs w:val="31"/>
          <w:lang w:val="en-US" w:eastAsia="zh-CN" w:bidi="ar"/>
        </w:rPr>
        <w:t>，应当将论证报告作为政府决策的重要参考依据。</w:t>
      </w:r>
    </w:p>
    <w:p w14:paraId="62CEEAAE">
      <w:pPr>
        <w:pStyle w:val="2"/>
        <w:ind w:left="0" w:leftChars="0" w:firstLine="620" w:firstLineChars="200"/>
        <w:rPr>
          <w:rFonts w:hint="default" w:eastAsia="仿宋_GB2312"/>
          <w:b w:val="0"/>
          <w:bCs w:val="0"/>
          <w:lang w:val="en-US" w:eastAsia="zh-CN"/>
        </w:rPr>
      </w:pPr>
      <w:r>
        <w:rPr>
          <w:rFonts w:hint="eastAsia" w:ascii="仿宋_GB2312" w:hAnsi="宋体" w:eastAsia="仿宋_GB2312" w:cs="仿宋_GB2312"/>
          <w:color w:val="000000"/>
          <w:kern w:val="0"/>
          <w:sz w:val="31"/>
          <w:szCs w:val="31"/>
          <w:lang w:val="en-US" w:eastAsia="zh-CN" w:bidi="ar"/>
        </w:rPr>
        <w:t>四</w:t>
      </w:r>
      <w:r>
        <w:rPr>
          <w:rFonts w:hint="default" w:ascii="仿宋_GB2312" w:hAnsi="宋体" w:eastAsia="仿宋_GB2312" w:cs="仿宋_GB2312"/>
          <w:color w:val="000000"/>
          <w:kern w:val="0"/>
          <w:sz w:val="31"/>
          <w:szCs w:val="31"/>
          <w:lang w:val="en-US" w:eastAsia="zh-CN" w:bidi="ar"/>
        </w:rPr>
        <w:t>是</w:t>
      </w:r>
      <w:r>
        <w:rPr>
          <w:rFonts w:hint="eastAsia" w:ascii="仿宋_GB2312" w:hAnsi="宋体" w:eastAsia="仿宋_GB2312" w:cs="仿宋_GB2312"/>
          <w:color w:val="000000"/>
          <w:kern w:val="0"/>
          <w:sz w:val="31"/>
          <w:szCs w:val="31"/>
          <w:lang w:val="en-US" w:eastAsia="zh-CN" w:bidi="ar"/>
        </w:rPr>
        <w:t>增加了关于重大行政决策终止条款，规定了</w:t>
      </w:r>
      <w:r>
        <w:rPr>
          <w:rFonts w:hint="eastAsia" w:ascii="仿宋_GB2312" w:hAnsi="仿宋_GB2312" w:eastAsia="仿宋_GB2312" w:cs="仿宋_GB2312"/>
          <w:b w:val="0"/>
          <w:bCs w:val="0"/>
          <w:color w:val="auto"/>
          <w:sz w:val="32"/>
          <w:szCs w:val="32"/>
        </w:rPr>
        <w:t>决策承办单位可以提请决策机关直接终止决策程序</w:t>
      </w:r>
      <w:r>
        <w:rPr>
          <w:rFonts w:hint="eastAsia" w:ascii="仿宋_GB2312" w:hAnsi="仿宋_GB2312" w:eastAsia="仿宋_GB2312" w:cs="仿宋_GB2312"/>
          <w:b w:val="0"/>
          <w:bCs w:val="0"/>
          <w:color w:val="auto"/>
          <w:sz w:val="32"/>
          <w:szCs w:val="32"/>
          <w:lang w:val="en-US" w:eastAsia="zh-CN"/>
        </w:rPr>
        <w:t>的事项。</w:t>
      </w:r>
    </w:p>
    <w:p w14:paraId="5CBC128D">
      <w:pPr>
        <w:pStyle w:val="2"/>
        <w:ind w:left="0" w:leftChars="0" w:firstLine="620" w:firstLineChars="200"/>
        <w:rPr>
          <w:rFonts w:hint="default"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五</w:t>
      </w:r>
      <w:r>
        <w:rPr>
          <w:rFonts w:hint="default" w:ascii="仿宋_GB2312" w:hAnsi="宋体" w:eastAsia="仿宋_GB2312" w:cs="仿宋_GB2312"/>
          <w:color w:val="000000"/>
          <w:kern w:val="0"/>
          <w:sz w:val="31"/>
          <w:szCs w:val="31"/>
          <w:lang w:val="en-US" w:eastAsia="zh-CN" w:bidi="ar"/>
        </w:rPr>
        <w:t>是</w:t>
      </w:r>
      <w:r>
        <w:rPr>
          <w:rFonts w:hint="eastAsia" w:ascii="仿宋_GB2312" w:hAnsi="宋体" w:eastAsia="仿宋_GB2312" w:cs="仿宋_GB2312"/>
          <w:color w:val="000000"/>
          <w:kern w:val="0"/>
          <w:sz w:val="31"/>
          <w:szCs w:val="31"/>
          <w:lang w:val="en-US" w:eastAsia="zh-CN" w:bidi="ar"/>
        </w:rPr>
        <w:t>增加了</w:t>
      </w:r>
      <w:r>
        <w:rPr>
          <w:rFonts w:hint="default" w:ascii="仿宋_GB2312" w:hAnsi="宋体" w:eastAsia="仿宋_GB2312" w:cs="仿宋_GB2312"/>
          <w:color w:val="000000"/>
          <w:kern w:val="0"/>
          <w:sz w:val="31"/>
          <w:szCs w:val="31"/>
          <w:lang w:val="en-US" w:eastAsia="zh-CN" w:bidi="ar"/>
        </w:rPr>
        <w:t>公平竞争审查</w:t>
      </w:r>
      <w:r>
        <w:rPr>
          <w:rFonts w:hint="eastAsia" w:ascii="仿宋_GB2312" w:hAnsi="宋体" w:eastAsia="仿宋_GB2312" w:cs="仿宋_GB2312"/>
          <w:color w:val="000000"/>
          <w:kern w:val="0"/>
          <w:sz w:val="31"/>
          <w:szCs w:val="31"/>
          <w:lang w:val="en-US" w:eastAsia="zh-CN" w:bidi="ar"/>
        </w:rPr>
        <w:t>程序条款，</w:t>
      </w:r>
      <w:r>
        <w:rPr>
          <w:rFonts w:hint="default" w:ascii="仿宋_GB2312" w:hAnsi="宋体" w:eastAsia="仿宋_GB2312" w:cs="仿宋_GB2312"/>
          <w:color w:val="000000"/>
          <w:kern w:val="0"/>
          <w:sz w:val="31"/>
          <w:szCs w:val="31"/>
          <w:lang w:val="en-US" w:eastAsia="zh-CN" w:bidi="ar"/>
        </w:rPr>
        <w:t>规定了公平竞争审查事项、审查方式和审查内容以及审查结果的处理等</w:t>
      </w:r>
      <w:r>
        <w:rPr>
          <w:rFonts w:hint="eastAsia" w:ascii="仿宋_GB2312" w:hAnsi="宋体" w:eastAsia="仿宋_GB2312" w:cs="仿宋_GB2312"/>
          <w:color w:val="000000"/>
          <w:kern w:val="0"/>
          <w:sz w:val="31"/>
          <w:szCs w:val="31"/>
          <w:lang w:val="en-US" w:eastAsia="zh-CN" w:bidi="ar"/>
        </w:rPr>
        <w:t>。</w:t>
      </w:r>
    </w:p>
    <w:p w14:paraId="41F9744C">
      <w:pPr>
        <w:pStyle w:val="3"/>
        <w:ind w:firstLine="620" w:firstLineChars="200"/>
        <w:rPr>
          <w:rFonts w:hint="eastAsia"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六</w:t>
      </w:r>
      <w:r>
        <w:rPr>
          <w:rFonts w:hint="default" w:ascii="仿宋_GB2312" w:hAnsi="宋体" w:eastAsia="仿宋_GB2312" w:cs="仿宋_GB2312"/>
          <w:color w:val="000000"/>
          <w:kern w:val="0"/>
          <w:sz w:val="31"/>
          <w:szCs w:val="31"/>
          <w:lang w:val="en-US" w:eastAsia="zh-CN" w:bidi="ar"/>
        </w:rPr>
        <w:t>是</w:t>
      </w:r>
      <w:r>
        <w:rPr>
          <w:rFonts w:hint="eastAsia" w:ascii="仿宋_GB2312" w:hAnsi="宋体" w:eastAsia="仿宋_GB2312" w:cs="仿宋_GB2312"/>
          <w:color w:val="000000"/>
          <w:kern w:val="0"/>
          <w:sz w:val="31"/>
          <w:szCs w:val="31"/>
          <w:lang w:val="en-US" w:eastAsia="zh-CN" w:bidi="ar"/>
        </w:rPr>
        <w:t>完善了合法性</w:t>
      </w:r>
      <w:r>
        <w:rPr>
          <w:rFonts w:hint="default" w:ascii="仿宋_GB2312" w:hAnsi="宋体" w:eastAsia="仿宋_GB2312" w:cs="仿宋_GB2312"/>
          <w:color w:val="000000"/>
          <w:kern w:val="0"/>
          <w:sz w:val="31"/>
          <w:szCs w:val="31"/>
          <w:lang w:val="en-US" w:eastAsia="zh-CN" w:bidi="ar"/>
        </w:rPr>
        <w:t>审查</w:t>
      </w:r>
      <w:r>
        <w:rPr>
          <w:rFonts w:hint="eastAsia" w:ascii="仿宋_GB2312" w:hAnsi="宋体" w:eastAsia="仿宋_GB2312" w:cs="仿宋_GB2312"/>
          <w:color w:val="000000"/>
          <w:kern w:val="0"/>
          <w:sz w:val="31"/>
          <w:szCs w:val="31"/>
          <w:lang w:val="en-US" w:eastAsia="zh-CN" w:bidi="ar"/>
        </w:rPr>
        <w:t>送审材料条款</w:t>
      </w:r>
      <w:r>
        <w:rPr>
          <w:rFonts w:hint="default" w:ascii="仿宋_GB2312" w:hAnsi="宋体" w:eastAsia="仿宋_GB2312" w:cs="仿宋_GB2312"/>
          <w:color w:val="000000"/>
          <w:kern w:val="0"/>
          <w:sz w:val="31"/>
          <w:szCs w:val="31"/>
          <w:lang w:val="en-US" w:eastAsia="zh-CN" w:bidi="ar"/>
        </w:rPr>
        <w:t>。</w:t>
      </w:r>
      <w:r>
        <w:rPr>
          <w:rFonts w:hint="eastAsia" w:ascii="仿宋_GB2312" w:hAnsi="宋体" w:eastAsia="仿宋_GB2312" w:cs="仿宋_GB2312"/>
          <w:color w:val="000000"/>
          <w:kern w:val="0"/>
          <w:sz w:val="31"/>
          <w:szCs w:val="31"/>
          <w:lang w:val="en-US" w:eastAsia="zh-CN" w:bidi="ar"/>
        </w:rPr>
        <w:t>实行两级集体讨论制度，要求送审单位提供本单位的合法性审查意见和集体讨论材料。</w:t>
      </w:r>
    </w:p>
    <w:p w14:paraId="0323F977">
      <w:pPr>
        <w:ind w:firstLine="620" w:firstLineChars="200"/>
        <w:rPr>
          <w:rFonts w:hint="default" w:ascii="仿宋_GB2312" w:hAnsi="宋体" w:eastAsia="仿宋_GB2312" w:cs="仿宋_GB2312"/>
          <w:color w:val="000000"/>
          <w:kern w:val="0"/>
          <w:sz w:val="31"/>
          <w:szCs w:val="31"/>
          <w:lang w:val="en-US" w:eastAsia="zh-CN" w:bidi="ar"/>
        </w:rPr>
      </w:pPr>
      <w:r>
        <w:rPr>
          <w:rFonts w:hint="eastAsia" w:ascii="仿宋_GB2312" w:hAnsi="宋体" w:eastAsia="仿宋_GB2312" w:cs="仿宋_GB2312"/>
          <w:color w:val="000000"/>
          <w:kern w:val="0"/>
          <w:sz w:val="31"/>
          <w:szCs w:val="31"/>
          <w:lang w:val="en-US" w:eastAsia="zh-CN" w:bidi="ar"/>
        </w:rPr>
        <w:t>七是</w:t>
      </w:r>
      <w:r>
        <w:rPr>
          <w:rFonts w:hint="default" w:ascii="仿宋_GB2312" w:hAnsi="宋体" w:eastAsia="仿宋_GB2312" w:cs="仿宋_GB2312"/>
          <w:color w:val="000000"/>
          <w:kern w:val="0"/>
          <w:sz w:val="31"/>
          <w:szCs w:val="31"/>
          <w:lang w:val="en-US" w:eastAsia="zh-CN" w:bidi="ar"/>
        </w:rPr>
        <w:t>增加</w:t>
      </w:r>
      <w:r>
        <w:rPr>
          <w:rFonts w:hint="eastAsia" w:ascii="仿宋_GB2312" w:hAnsi="宋体" w:eastAsia="仿宋_GB2312" w:cs="仿宋_GB2312"/>
          <w:color w:val="000000"/>
          <w:kern w:val="0"/>
          <w:sz w:val="31"/>
          <w:szCs w:val="31"/>
          <w:lang w:val="en-US" w:eastAsia="zh-CN" w:bidi="ar"/>
        </w:rPr>
        <w:t>了</w:t>
      </w:r>
      <w:r>
        <w:rPr>
          <w:rFonts w:hint="default" w:ascii="仿宋_GB2312" w:hAnsi="宋体" w:eastAsia="仿宋_GB2312" w:cs="仿宋_GB2312"/>
          <w:color w:val="000000"/>
          <w:kern w:val="0"/>
          <w:sz w:val="31"/>
          <w:szCs w:val="31"/>
          <w:lang w:val="en-US" w:eastAsia="zh-CN" w:bidi="ar"/>
        </w:rPr>
        <w:t>关于重大行政决策后评估制度</w:t>
      </w:r>
      <w:r>
        <w:rPr>
          <w:rFonts w:hint="eastAsia" w:ascii="仿宋_GB2312" w:hAnsi="宋体" w:eastAsia="仿宋_GB2312" w:cs="仿宋_GB2312"/>
          <w:color w:val="000000"/>
          <w:kern w:val="0"/>
          <w:sz w:val="31"/>
          <w:szCs w:val="31"/>
          <w:lang w:val="en-US" w:eastAsia="zh-CN" w:bidi="ar"/>
        </w:rPr>
        <w:t>条款</w:t>
      </w:r>
      <w:r>
        <w:rPr>
          <w:rFonts w:hint="default" w:ascii="仿宋_GB2312" w:hAnsi="宋体" w:eastAsia="仿宋_GB2312" w:cs="仿宋_GB2312"/>
          <w:color w:val="000000"/>
          <w:kern w:val="0"/>
          <w:sz w:val="31"/>
          <w:szCs w:val="31"/>
          <w:lang w:val="en-US" w:eastAsia="zh-CN" w:bidi="ar"/>
        </w:rPr>
        <w:t>。</w:t>
      </w:r>
    </w:p>
    <w:p w14:paraId="1F1BB15A">
      <w:pPr>
        <w:rPr>
          <w:rFonts w:hint="eastAsia" w:ascii="仿宋_GB2312" w:hAnsi="仿宋_GB2312" w:eastAsia="仿宋_GB2312" w:cs="仿宋_GB2312"/>
          <w:sz w:val="32"/>
          <w:szCs w:val="32"/>
        </w:rPr>
      </w:pPr>
    </w:p>
    <w:p w14:paraId="6D6B5A76"/>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DD188">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4995F0">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284995F0">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wYTVjNDA0ZjIwODhjODliZDgxMTJiMWIyNjBlYzgifQ=="/>
  </w:docVars>
  <w:rsids>
    <w:rsidRoot w:val="03112E51"/>
    <w:rsid w:val="03112E51"/>
    <w:rsid w:val="2E5B7DFA"/>
    <w:rsid w:val="4798308A"/>
    <w:rsid w:val="568D0D1D"/>
    <w:rsid w:val="66802895"/>
    <w:rsid w:val="79DE22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next w:val="3"/>
    <w:unhideWhenUsed/>
    <w:qFormat/>
    <w:uiPriority w:val="99"/>
    <w:pPr>
      <w:widowControl w:val="0"/>
      <w:spacing w:line="360" w:lineRule="auto"/>
      <w:ind w:firstLine="200"/>
      <w:jc w:val="both"/>
      <w:textAlignment w:val="center"/>
    </w:pPr>
    <w:rPr>
      <w:rFonts w:ascii="Calibri" w:hAnsi="Calibri" w:eastAsia="宋体" w:cs="黑体"/>
      <w:kern w:val="0"/>
      <w:sz w:val="24"/>
      <w:szCs w:val="24"/>
      <w:lang w:val="en-US" w:eastAsia="zh-CN" w:bidi="ar-SA"/>
    </w:rPr>
  </w:style>
  <w:style w:type="paragraph" w:styleId="3">
    <w:name w:val="Body Text"/>
    <w:next w:val="1"/>
    <w:qFormat/>
    <w:uiPriority w:val="0"/>
    <w:pPr>
      <w:widowControl w:val="0"/>
      <w:jc w:val="both"/>
    </w:pPr>
    <w:rPr>
      <w:rFonts w:ascii="Calibri" w:hAnsi="Calibri" w:eastAsia="宋体" w:cs="黑体"/>
      <w:kern w:val="2"/>
      <w:sz w:val="21"/>
      <w:szCs w:val="24"/>
      <w:lang w:val="en-US" w:eastAsia="zh-CN" w:bidi="ar-SA"/>
    </w:rPr>
  </w:style>
  <w:style w:type="paragraph" w:styleId="4">
    <w:name w:val="footer"/>
    <w:qFormat/>
    <w:uiPriority w:val="0"/>
    <w:pPr>
      <w:widowControl w:val="0"/>
      <w:tabs>
        <w:tab w:val="center" w:pos="4153"/>
        <w:tab w:val="right" w:pos="8306"/>
      </w:tabs>
      <w:snapToGrid w:val="0"/>
      <w:jc w:val="left"/>
    </w:pPr>
    <w:rPr>
      <w:rFonts w:asciiTheme="minorHAnsi" w:hAnsiTheme="minorHAnsi" w:eastAsiaTheme="minorEastAsia" w:cstheme="minorBidi"/>
      <w:kern w:val="2"/>
      <w:sz w:val="18"/>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885</Words>
  <Characters>887</Characters>
  <Lines>0</Lines>
  <Paragraphs>0</Paragraphs>
  <TotalTime>2</TotalTime>
  <ScaleCrop>false</ScaleCrop>
  <LinksUpToDate>false</LinksUpToDate>
  <CharactersWithSpaces>887</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2024-07-17T08:23:00Z</dcterms:created>
  <dc:creator>李梦云</dc:creator>
  <cp:lastModifiedBy>馒头馊了</cp:lastModifiedBy>
  <dcterms:modified xsi:type="dcterms:W3CDTF">2024-07-18T00:35:04Z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EA0319F393024F5B91179A503D39BDBA_12</vt:lpwstr>
  </property>
</Properties>
</file>