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C86A9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0"/>
        <w:jc w:val="both"/>
        <w:textAlignment w:val="auto"/>
        <w:rPr>
          <w:rFonts w:hint="eastAsia" w:ascii="方正黑体_GBK" w:hAnsi="方正黑体_GBK" w:eastAsia="方正黑体_GBK" w:cs="方正黑体_GBK"/>
          <w:i w:val="0"/>
          <w:iCs w:val="0"/>
          <w:caps w:val="0"/>
          <w:color w:val="333333"/>
          <w:spacing w:val="0"/>
          <w:sz w:val="32"/>
          <w:szCs w:val="32"/>
        </w:rPr>
      </w:pPr>
      <w:bookmarkStart w:id="0" w:name="_GoBack"/>
      <w:bookmarkEnd w:id="0"/>
      <w:r>
        <w:rPr>
          <w:rFonts w:hint="eastAsia" w:ascii="方正黑体_GBK" w:hAnsi="方正黑体_GBK" w:eastAsia="方正黑体_GBK" w:cs="方正黑体_GBK"/>
          <w:i w:val="0"/>
          <w:iCs w:val="0"/>
          <w:caps w:val="0"/>
          <w:color w:val="333333"/>
          <w:spacing w:val="0"/>
          <w:sz w:val="32"/>
          <w:szCs w:val="32"/>
          <w:shd w:val="clear" w:color="auto" w:fill="FFFFFF"/>
        </w:rPr>
        <w:t>附件1</w:t>
      </w:r>
    </w:p>
    <w:p w14:paraId="07DE071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420"/>
        <w:jc w:val="center"/>
        <w:textAlignment w:val="auto"/>
        <w:rPr>
          <w:rFonts w:hint="default" w:ascii="Times New Roman" w:hAnsi="Times New Roman" w:eastAsia="方正小标宋_GBK" w:cs="Times New Roman"/>
          <w:i w:val="0"/>
          <w:iCs w:val="0"/>
          <w:caps w:val="0"/>
          <w:color w:val="333333"/>
          <w:spacing w:val="0"/>
          <w:sz w:val="44"/>
          <w:szCs w:val="44"/>
        </w:rPr>
      </w:pPr>
      <w:r>
        <w:rPr>
          <w:rFonts w:hint="default" w:ascii="Times New Roman" w:hAnsi="Times New Roman" w:eastAsia="宋体" w:cs="Times New Roman"/>
          <w:i w:val="0"/>
          <w:iCs w:val="0"/>
          <w:caps w:val="0"/>
          <w:color w:val="333333"/>
          <w:spacing w:val="0"/>
          <w:sz w:val="32"/>
          <w:szCs w:val="32"/>
          <w:shd w:val="clear" w:color="auto" w:fill="FFFFFF"/>
        </w:rPr>
        <w:t> </w:t>
      </w:r>
    </w:p>
    <w:p w14:paraId="127928C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小标宋_GBK" w:cs="Times New Roman"/>
          <w:b/>
          <w:bCs/>
          <w:i w:val="0"/>
          <w:iCs w:val="0"/>
          <w:caps w:val="0"/>
          <w:color w:val="333333"/>
          <w:spacing w:val="0"/>
          <w:sz w:val="44"/>
          <w:szCs w:val="44"/>
          <w:shd w:val="clear" w:color="auto" w:fill="FFFFFF"/>
        </w:rPr>
      </w:pPr>
      <w:r>
        <w:rPr>
          <w:rFonts w:hint="default" w:ascii="Times New Roman" w:hAnsi="Times New Roman" w:eastAsia="方正小标宋_GBK" w:cs="Times New Roman"/>
          <w:b/>
          <w:bCs/>
          <w:i w:val="0"/>
          <w:iCs w:val="0"/>
          <w:caps w:val="0"/>
          <w:color w:val="333333"/>
          <w:spacing w:val="0"/>
          <w:sz w:val="44"/>
          <w:szCs w:val="44"/>
          <w:shd w:val="clear" w:color="auto" w:fill="FFFFFF"/>
        </w:rPr>
        <w:t>池州市支持半导体产业高质量发展</w:t>
      </w:r>
    </w:p>
    <w:p w14:paraId="136435E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default" w:ascii="Times New Roman" w:hAnsi="Times New Roman" w:eastAsia="方正小标宋_GBK" w:cs="Times New Roman"/>
          <w:i w:val="0"/>
          <w:iCs w:val="0"/>
          <w:caps w:val="0"/>
          <w:color w:val="333333"/>
          <w:spacing w:val="0"/>
          <w:sz w:val="44"/>
          <w:szCs w:val="44"/>
        </w:rPr>
      </w:pPr>
      <w:r>
        <w:rPr>
          <w:rFonts w:hint="default" w:ascii="Times New Roman" w:hAnsi="Times New Roman" w:eastAsia="方正小标宋_GBK" w:cs="Times New Roman"/>
          <w:b/>
          <w:bCs/>
          <w:i w:val="0"/>
          <w:iCs w:val="0"/>
          <w:caps w:val="0"/>
          <w:color w:val="333333"/>
          <w:spacing w:val="0"/>
          <w:sz w:val="44"/>
          <w:szCs w:val="44"/>
          <w:shd w:val="clear" w:color="auto" w:fill="FFFFFF"/>
        </w:rPr>
        <w:t>若干政策（征求意见稿）</w:t>
      </w:r>
    </w:p>
    <w:p w14:paraId="756C6F1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420"/>
        <w:jc w:val="center"/>
        <w:textAlignment w:val="auto"/>
        <w:rPr>
          <w:rFonts w:hint="default" w:ascii="Times New Roman" w:hAnsi="Times New Roman" w:eastAsia="方正小标宋_GBK" w:cs="Times New Roman"/>
          <w:i w:val="0"/>
          <w:iCs w:val="0"/>
          <w:caps w:val="0"/>
          <w:color w:val="333333"/>
          <w:spacing w:val="0"/>
          <w:sz w:val="44"/>
          <w:szCs w:val="44"/>
        </w:rPr>
      </w:pPr>
      <w:r>
        <w:rPr>
          <w:rFonts w:hint="default" w:ascii="Times New Roman" w:hAnsi="Times New Roman" w:eastAsia="方正小标宋_GBK" w:cs="Times New Roman"/>
          <w:i w:val="0"/>
          <w:iCs w:val="0"/>
          <w:caps w:val="0"/>
          <w:color w:val="333333"/>
          <w:spacing w:val="0"/>
          <w:sz w:val="44"/>
          <w:szCs w:val="44"/>
          <w:shd w:val="clear" w:color="auto" w:fill="FFFFFF"/>
        </w:rPr>
        <w:t> </w:t>
      </w:r>
    </w:p>
    <w:p w14:paraId="546E26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为促进我市半导体产业高质量发展，提升产业创新能力和质量效益，打造先进特色半导体产业生产制造基地，结合我市实际，特制定本政策。</w:t>
      </w:r>
    </w:p>
    <w:p w14:paraId="2089D0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第一条 支持企业流片。</w:t>
      </w:r>
      <w:r>
        <w:rPr>
          <w:rFonts w:hint="default" w:ascii="Times New Roman" w:hAnsi="Times New Roman" w:eastAsia="方正仿宋_GBK" w:cs="Times New Roman"/>
          <w:i w:val="0"/>
          <w:iCs w:val="0"/>
          <w:caps w:val="0"/>
          <w:color w:val="333333"/>
          <w:spacing w:val="0"/>
          <w:sz w:val="32"/>
          <w:szCs w:val="32"/>
          <w:shd w:val="clear" w:color="auto" w:fill="FFFFFF"/>
        </w:rPr>
        <w:t>对使用多项目晶圆（MPW）开展研发的半导体集成电路设计企业，给予多项目晶圆直接流片费用50%、年度补助总额最高50万元的补助。对开展全掩膜（ Full Mask）工程流片，按照掩模版制作费用50%给予补助，年度补助总额最高50万元。</w:t>
      </w:r>
    </w:p>
    <w:p w14:paraId="52D99FA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本条政策年度资助总金额最高100万元。</w:t>
      </w:r>
    </w:p>
    <w:p w14:paraId="5C9C375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第二条 支持购买、租用EDA和购买IP 。</w:t>
      </w:r>
      <w:r>
        <w:rPr>
          <w:rFonts w:hint="default" w:ascii="Times New Roman" w:hAnsi="Times New Roman" w:eastAsia="方正仿宋_GBK" w:cs="Times New Roman"/>
          <w:i w:val="0"/>
          <w:iCs w:val="0"/>
          <w:caps w:val="0"/>
          <w:color w:val="333333"/>
          <w:spacing w:val="0"/>
          <w:sz w:val="32"/>
          <w:szCs w:val="32"/>
          <w:shd w:val="clear" w:color="auto" w:fill="FFFFFF"/>
        </w:rPr>
        <w:t>对购买或租用EDA工具软件（含软件升级费用）的企业开展研发活动，按照实际发生费用的50%给予补助，每家企业年度补助总额最高30万元。对购买 IP（含 Foundry IP模块）的半导体集成电路企业，按照实际发生费用50%给予补助，每家企业年度补助总额最高20万元。</w:t>
      </w:r>
    </w:p>
    <w:p w14:paraId="56C180A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本条政策年度资助总金额最高50万元。</w:t>
      </w:r>
    </w:p>
    <w:p w14:paraId="5050DA1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第三条 支持开展车规认证。</w:t>
      </w:r>
      <w:r>
        <w:rPr>
          <w:rFonts w:hint="default" w:ascii="Times New Roman" w:hAnsi="Times New Roman" w:eastAsia="方正仿宋_GBK" w:cs="Times New Roman"/>
          <w:i w:val="0"/>
          <w:iCs w:val="0"/>
          <w:caps w:val="0"/>
          <w:color w:val="333333"/>
          <w:spacing w:val="0"/>
          <w:sz w:val="32"/>
          <w:szCs w:val="32"/>
          <w:shd w:val="clear" w:color="auto" w:fill="FFFFFF"/>
        </w:rPr>
        <w:t>支持企业利用具有国家级资质的第三方平台进行AEC-Q可靠度标准、IATF16949品质管理标准、ISO26262功能安全标准等车规级认证，对通过车规级认证的给予实际认证费用50%的补助，年度补助总额不超过20万元。</w:t>
      </w:r>
    </w:p>
    <w:p w14:paraId="464076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本条政策年度资助总金额最高100万元。</w:t>
      </w:r>
    </w:p>
    <w:p w14:paraId="253DEE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第四条 降低企业用房成本。</w:t>
      </w:r>
      <w:r>
        <w:rPr>
          <w:rFonts w:hint="default" w:ascii="Times New Roman" w:hAnsi="Times New Roman" w:eastAsia="方正仿宋_GBK" w:cs="Times New Roman"/>
          <w:i w:val="0"/>
          <w:iCs w:val="0"/>
          <w:caps w:val="0"/>
          <w:color w:val="333333"/>
          <w:spacing w:val="0"/>
          <w:sz w:val="32"/>
          <w:szCs w:val="32"/>
          <w:shd w:val="clear" w:color="auto" w:fill="FFFFFF"/>
        </w:rPr>
        <w:t>对在厂房建设中支出千级及以下洁净室装修工程费的半导体集成电路企业，按照千级500元/平方米、百级1000元/平方米给予补助，每家企业补助金额最高不超过100万元。</w:t>
      </w:r>
    </w:p>
    <w:p w14:paraId="574D981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本条政策年度资助总金额最高200万元。</w:t>
      </w:r>
    </w:p>
    <w:p w14:paraId="0378848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第五条 降低企业用人成本。</w:t>
      </w:r>
      <w:r>
        <w:rPr>
          <w:rFonts w:hint="default" w:ascii="Times New Roman" w:hAnsi="Times New Roman" w:eastAsia="方正仿宋_GBK" w:cs="Times New Roman"/>
          <w:i w:val="0"/>
          <w:iCs w:val="0"/>
          <w:caps w:val="0"/>
          <w:color w:val="333333"/>
          <w:spacing w:val="0"/>
          <w:sz w:val="32"/>
          <w:szCs w:val="32"/>
          <w:shd w:val="clear" w:color="auto" w:fill="FFFFFF"/>
        </w:rPr>
        <w:t>对企业上年度用于支付已认定的E类及以上人才薪金的成本按人数给予资助，上年度总产值1亿元以上（含）、5000万元（含）-1亿元（不含）、2000万元（含）-5000万元（不含）的企业，分别给予每年最高30万元、20万元、10万元的资助。</w:t>
      </w:r>
    </w:p>
    <w:p w14:paraId="4548E83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本条政策年度资助总金额最高100万元。</w:t>
      </w:r>
    </w:p>
    <w:p w14:paraId="49221B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第六条 培育初创企业。</w:t>
      </w:r>
      <w:r>
        <w:rPr>
          <w:rFonts w:hint="default" w:ascii="Times New Roman" w:hAnsi="Times New Roman" w:eastAsia="方正仿宋_GBK" w:cs="Times New Roman"/>
          <w:i w:val="0"/>
          <w:iCs w:val="0"/>
          <w:caps w:val="0"/>
          <w:color w:val="333333"/>
          <w:spacing w:val="0"/>
          <w:sz w:val="32"/>
          <w:szCs w:val="32"/>
          <w:shd w:val="clear" w:color="auto" w:fill="FFFFFF"/>
        </w:rPr>
        <w:t>对成立五年以内的半导体集成电路企业,成功获得专业投资机构投资并在一年内提出申请的,可按投资金额最高的单个非政府性质的专业投资机构实际到位股权投资资金的10%,给予最高不超过50万元的一次性资助。本条款专项用于初创期优质企业扶持。</w:t>
      </w:r>
    </w:p>
    <w:p w14:paraId="7006584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本条政策年度资助总金额最高100万元。</w:t>
      </w:r>
    </w:p>
    <w:p w14:paraId="23809B5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第七条 支持产品测试验证。</w:t>
      </w:r>
      <w:r>
        <w:rPr>
          <w:rFonts w:hint="default" w:ascii="Times New Roman" w:hAnsi="Times New Roman" w:eastAsia="方正仿宋_GBK" w:cs="Times New Roman"/>
          <w:i w:val="0"/>
          <w:iCs w:val="0"/>
          <w:caps w:val="0"/>
          <w:color w:val="333333"/>
          <w:spacing w:val="0"/>
          <w:sz w:val="32"/>
          <w:szCs w:val="32"/>
          <w:shd w:val="clear" w:color="auto" w:fill="FFFFFF"/>
        </w:rPr>
        <w:t>对在第三方机构开展工程样片、设备、材料的功能、可靠性、兼容性、失效分析等方面测试验证及相关认证的企业，按照年度实际支出费用的15%，给予每年最高20万元的资助。</w:t>
      </w:r>
    </w:p>
    <w:p w14:paraId="7A9F54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本条政策年度资助总金额最高100万元。</w:t>
      </w:r>
    </w:p>
    <w:p w14:paraId="4C039A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第八条 支持公共服务平台和产业创新平台建设。</w:t>
      </w:r>
      <w:r>
        <w:rPr>
          <w:rFonts w:hint="default" w:ascii="Times New Roman" w:hAnsi="Times New Roman" w:eastAsia="方正仿宋_GBK" w:cs="Times New Roman"/>
          <w:i w:val="0"/>
          <w:iCs w:val="0"/>
          <w:caps w:val="0"/>
          <w:color w:val="333333"/>
          <w:spacing w:val="0"/>
          <w:sz w:val="32"/>
          <w:szCs w:val="32"/>
          <w:shd w:val="clear" w:color="auto" w:fill="FFFFFF"/>
        </w:rPr>
        <w:t>支持高等院校、科研机构和企业联合建设产业公共服务平台和产业创新平台，提供技术研发、技术咨询、检验检测、测试认证、成果对接、技术交易等服务。按照公共服务平台和产业创新平台实际固定资产投资额20%给予资助，最高资助100万元。</w:t>
      </w:r>
    </w:p>
    <w:p w14:paraId="3E14499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本条政策年度资助总金额最高100万元。</w:t>
      </w:r>
    </w:p>
    <w:p w14:paraId="5CE1239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第九条 支持产业链上下游联动发展。</w:t>
      </w:r>
      <w:r>
        <w:rPr>
          <w:rFonts w:hint="default" w:ascii="Times New Roman" w:hAnsi="Times New Roman" w:eastAsia="方正仿宋_GBK" w:cs="Times New Roman"/>
          <w:i w:val="0"/>
          <w:iCs w:val="0"/>
          <w:caps w:val="0"/>
          <w:color w:val="333333"/>
          <w:spacing w:val="0"/>
          <w:sz w:val="32"/>
          <w:szCs w:val="32"/>
          <w:shd w:val="clear" w:color="auto" w:fill="FFFFFF"/>
        </w:rPr>
        <w:t>对集成电路企业首购首用相关配套产业非关联企业的产品和服务,且年度实际采购金额累计达100万元以上，按年度实际采购金额的20%,给予每家企业每年最高不超过25万元的资助。</w:t>
      </w:r>
    </w:p>
    <w:p w14:paraId="6898ECE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本条政策年度资助总金额最高100万元。</w:t>
      </w:r>
    </w:p>
    <w:p w14:paraId="2AAA6C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第十条 支持加强研发和创新。</w:t>
      </w:r>
      <w:r>
        <w:rPr>
          <w:rFonts w:hint="default" w:ascii="Times New Roman" w:hAnsi="Times New Roman" w:eastAsia="方正仿宋_GBK" w:cs="Times New Roman"/>
          <w:i w:val="0"/>
          <w:iCs w:val="0"/>
          <w:caps w:val="0"/>
          <w:color w:val="333333"/>
          <w:spacing w:val="0"/>
          <w:sz w:val="32"/>
          <w:szCs w:val="32"/>
          <w:shd w:val="clear" w:color="auto" w:fill="FFFFFF"/>
        </w:rPr>
        <w:t>支持行业龙头企业主导或参与集成电路产业标准制订，主导或参与制修订国际标准，主导或参与制修订国家标准的，每个企业（组织）分别给予不超过20万元和10万元的一次性奖励。</w:t>
      </w:r>
    </w:p>
    <w:p w14:paraId="66FF4A2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本条政策年度资助总金额最高50万元。</w:t>
      </w:r>
    </w:p>
    <w:p w14:paraId="6DAAC3B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shd w:val="clear" w:color="auto" w:fill="FFFFFF"/>
        </w:rPr>
        <w:t>第十一条 附则。</w:t>
      </w:r>
      <w:r>
        <w:rPr>
          <w:rFonts w:hint="default" w:ascii="Times New Roman" w:hAnsi="Times New Roman" w:eastAsia="方正仿宋_GBK" w:cs="Times New Roman"/>
          <w:i w:val="0"/>
          <w:iCs w:val="0"/>
          <w:caps w:val="0"/>
          <w:color w:val="333333"/>
          <w:spacing w:val="0"/>
          <w:sz w:val="32"/>
          <w:szCs w:val="32"/>
          <w:shd w:val="clear" w:color="auto" w:fill="FFFFFF"/>
        </w:rPr>
        <w:t>本政策支持对象为，在我市依法生产经营，未发生环保、安全生产重大事故和无失信的半导体集成电路设计、制造、封装测试、设备材料、高端应用等领域研发、生产和服务企业。本政策由市发展改革委负责制定实施细则进行解释和执行。</w:t>
      </w:r>
    </w:p>
    <w:p w14:paraId="48E5394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i w:val="0"/>
          <w:iCs w:val="0"/>
          <w:caps w:val="0"/>
          <w:color w:val="333333"/>
          <w:spacing w:val="0"/>
          <w:sz w:val="32"/>
          <w:szCs w:val="32"/>
          <w:shd w:val="clear" w:color="auto" w:fill="FFFFFF"/>
        </w:rPr>
        <w:t>本政策自印发之日起实施，适用期两年，适用年度为2025年1月1日至2026年12月31日。实施期间，国家、省出台新规定的从其规定。涉及奖励资金按照“县级先兑付、市级后补助、从高不重复”的原则， 由市级财政和县区政府、管委会财政共同承担。</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0319ED"/>
    <w:rsid w:val="41225A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Style w:val="3"/>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1543</Words>
  <Characters>1664</Characters>
  <Lines>0</Lines>
  <Paragraphs>0</Paragraphs>
  <TotalTime>2</TotalTime>
  <ScaleCrop>false</ScaleCrop>
  <LinksUpToDate>false</LinksUpToDate>
  <CharactersWithSpaces>1684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2025-08-15T09:11:22Z</dcterms:created>
  <dc:creator>张朵朵</dc:creator>
  <cp:lastModifiedBy>馒头馊了</cp:lastModifiedBy>
  <dcterms:modified xsi:type="dcterms:W3CDTF">2025-08-15T09:17:32Z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eyJoZGlkIjoiZWYwYTVjNDA0ZjIwODhjODliZDgxMTJiMWIyNjBlYzgiLCJ1c2VySWQiOiIzOTI3Nzg3OTAifQ==</vt:lpwstr>
  </property>
  <property fmtid="{D5CDD505-2E9C-101B-9397-08002B2CF9AE}" pid="4" name="ICV">
    <vt:lpwstr>6BBCD75E6B59457DA2B8963FA4D86440_13</vt:lpwstr>
  </property>
</Properties>
</file>