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C123AF">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pacing w:val="-6"/>
          <w:sz w:val="44"/>
          <w:szCs w:val="44"/>
        </w:rPr>
      </w:pPr>
    </w:p>
    <w:p w14:paraId="03FC72E4">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pacing w:val="-6"/>
          <w:sz w:val="44"/>
          <w:szCs w:val="44"/>
        </w:rPr>
      </w:pPr>
    </w:p>
    <w:p w14:paraId="5C8D18CD">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color w:val="auto"/>
          <w:sz w:val="44"/>
          <w:szCs w:val="44"/>
        </w:rPr>
      </w:pPr>
      <w:r>
        <w:rPr>
          <w:rFonts w:hint="eastAsia" w:ascii="方正小标宋_GBK" w:hAnsi="方正小标宋_GBK" w:eastAsia="方正小标宋_GBK" w:cs="方正小标宋_GBK"/>
          <w:spacing w:val="-6"/>
          <w:sz w:val="44"/>
          <w:szCs w:val="44"/>
        </w:rPr>
        <w:t>池州市人民政府办公室关于印发</w:t>
      </w:r>
      <w:r>
        <w:rPr>
          <w:rFonts w:hint="eastAsia" w:ascii="方正小标宋_GBK" w:hAnsi="方正小标宋_GBK" w:eastAsia="方正小标宋_GBK" w:cs="方正小标宋_GBK"/>
          <w:color w:val="auto"/>
          <w:sz w:val="44"/>
          <w:szCs w:val="44"/>
        </w:rPr>
        <w:t>池州市以</w:t>
      </w:r>
    </w:p>
    <w:p w14:paraId="20B28725">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color w:val="auto"/>
          <w:sz w:val="44"/>
          <w:szCs w:val="44"/>
        </w:rPr>
      </w:pPr>
      <w:r>
        <w:rPr>
          <w:rFonts w:hint="eastAsia" w:ascii="方正小标宋_GBK" w:hAnsi="方正小标宋_GBK" w:eastAsia="方正小标宋_GBK" w:cs="方正小标宋_GBK"/>
          <w:color w:val="auto"/>
          <w:sz w:val="44"/>
          <w:szCs w:val="44"/>
        </w:rPr>
        <w:t>新型技术改造推动制造业高端化智能化</w:t>
      </w:r>
    </w:p>
    <w:p w14:paraId="0C56434E">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pacing w:val="-6"/>
          <w:sz w:val="44"/>
          <w:szCs w:val="44"/>
        </w:rPr>
      </w:pPr>
      <w:r>
        <w:rPr>
          <w:rFonts w:hint="eastAsia" w:ascii="方正小标宋_GBK" w:hAnsi="方正小标宋_GBK" w:eastAsia="方正小标宋_GBK" w:cs="方正小标宋_GBK"/>
          <w:color w:val="auto"/>
          <w:sz w:val="44"/>
          <w:szCs w:val="44"/>
        </w:rPr>
        <w:t>绿色化发展行动方案</w:t>
      </w:r>
      <w:r>
        <w:rPr>
          <w:rFonts w:hint="eastAsia" w:ascii="方正小标宋_GBK" w:hAnsi="方正小标宋_GBK" w:eastAsia="方正小标宋_GBK" w:cs="方正小标宋_GBK"/>
          <w:spacing w:val="-6"/>
          <w:sz w:val="44"/>
          <w:szCs w:val="44"/>
        </w:rPr>
        <w:t>的通知</w:t>
      </w:r>
    </w:p>
    <w:p w14:paraId="500A2AF5">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lang w:eastAsia="zh-CN"/>
        </w:rPr>
      </w:pPr>
      <w:bookmarkStart w:id="0" w:name="发文字号"/>
      <w:r>
        <w:rPr>
          <w:rFonts w:hint="default" w:ascii="Times New Roman" w:hAnsi="Times New Roman" w:eastAsia="方正仿宋_GBK" w:cs="Times New Roman"/>
          <w:lang w:eastAsia="zh-CN"/>
        </w:rPr>
        <w:t>池政办〔2025〕44号</w:t>
      </w:r>
      <w:bookmarkEnd w:id="0"/>
    </w:p>
    <w:p w14:paraId="0B98040A">
      <w:pPr>
        <w:pStyle w:val="2"/>
        <w:keepNext w:val="0"/>
        <w:keepLines w:val="0"/>
        <w:pageBreakBefore w:val="0"/>
        <w:widowControl w:val="0"/>
        <w:kinsoku/>
        <w:wordWrap/>
        <w:overflowPunct/>
        <w:topLinePunct w:val="0"/>
        <w:autoSpaceDE/>
        <w:autoSpaceDN/>
        <w:bidi w:val="0"/>
        <w:adjustRightInd/>
        <w:snapToGrid/>
        <w:spacing w:before="0" w:line="590" w:lineRule="exact"/>
        <w:rPr>
          <w:rFonts w:hint="default" w:ascii="Times New Roman" w:hAnsi="Times New Roman" w:eastAsia="方正仿宋_GBK" w:cs="Times New Roman"/>
        </w:rPr>
      </w:pPr>
    </w:p>
    <w:p w14:paraId="66DF5F50">
      <w:pPr>
        <w:keepNext w:val="0"/>
        <w:keepLines w:val="0"/>
        <w:pageBreakBefore w:val="0"/>
        <w:widowControl w:val="0"/>
        <w:numPr>
          <w:ilvl w:val="0"/>
          <w:numId w:val="0"/>
        </w:numPr>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pacing w:val="-6"/>
          <w:sz w:val="32"/>
          <w:szCs w:val="32"/>
        </w:rPr>
        <w:t>各县、区人民政府，江南新兴产业集中区、九华山风景区、开发区、</w:t>
      </w:r>
      <w:r>
        <w:rPr>
          <w:rFonts w:hint="default" w:ascii="Times New Roman" w:hAnsi="Times New Roman" w:eastAsia="方正仿宋_GBK" w:cs="Times New Roman"/>
          <w:color w:val="auto"/>
          <w:sz w:val="32"/>
          <w:szCs w:val="32"/>
        </w:rPr>
        <w:t>平天湖风景区管委会，</w:t>
      </w:r>
      <w:r>
        <w:rPr>
          <w:rFonts w:hint="default" w:ascii="Times New Roman" w:hAnsi="Times New Roman" w:eastAsia="方正仿宋_GBK" w:cs="Times New Roman"/>
          <w:color w:val="auto"/>
          <w:sz w:val="32"/>
          <w:szCs w:val="32"/>
          <w:lang w:eastAsia="zh-CN"/>
        </w:rPr>
        <w:t>市政府各部门</w:t>
      </w:r>
      <w:r>
        <w:rPr>
          <w:rFonts w:hint="default" w:ascii="Times New Roman" w:hAnsi="Times New Roman" w:eastAsia="方正仿宋_GBK" w:cs="Times New Roman"/>
          <w:color w:val="auto"/>
          <w:sz w:val="32"/>
          <w:szCs w:val="32"/>
        </w:rPr>
        <w:t>、各直属机构：</w:t>
      </w:r>
    </w:p>
    <w:p w14:paraId="3672F650">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《池州市以新型技术改造推动制造业高端化智能化绿色化发展行动方案》</w:t>
      </w:r>
      <w:r>
        <w:rPr>
          <w:rFonts w:hint="default" w:ascii="Times New Roman" w:hAnsi="Times New Roman" w:eastAsia="方正仿宋_GBK" w:cs="Times New Roman"/>
          <w:color w:val="auto"/>
          <w:sz w:val="32"/>
          <w:szCs w:val="32"/>
          <w:lang w:eastAsia="zh-CN"/>
        </w:rPr>
        <w:t>业经市政府第</w:t>
      </w:r>
      <w:r>
        <w:rPr>
          <w:rFonts w:hint="default" w:ascii="Times New Roman" w:hAnsi="Times New Roman" w:eastAsia="方正仿宋_GBK" w:cs="Times New Roman"/>
          <w:color w:val="auto"/>
          <w:sz w:val="32"/>
          <w:szCs w:val="32"/>
          <w:lang w:val="en-US" w:eastAsia="zh-CN"/>
        </w:rPr>
        <w:t>49次常务会议审议通过，现</w:t>
      </w:r>
      <w:r>
        <w:rPr>
          <w:rFonts w:hint="default" w:ascii="Times New Roman" w:hAnsi="Times New Roman" w:eastAsia="方正仿宋_GBK" w:cs="Times New Roman"/>
          <w:color w:val="auto"/>
          <w:sz w:val="32"/>
          <w:szCs w:val="32"/>
        </w:rPr>
        <w:t>印发给你们，请认真</w:t>
      </w:r>
      <w:r>
        <w:rPr>
          <w:rFonts w:hint="default" w:ascii="Times New Roman" w:hAnsi="Times New Roman" w:eastAsia="方正仿宋_GBK" w:cs="Times New Roman"/>
          <w:color w:val="auto"/>
          <w:sz w:val="32"/>
          <w:szCs w:val="32"/>
          <w:lang w:eastAsia="zh-CN"/>
        </w:rPr>
        <w:t>抓好</w:t>
      </w:r>
      <w:r>
        <w:rPr>
          <w:rFonts w:hint="default" w:ascii="Times New Roman" w:hAnsi="Times New Roman" w:eastAsia="方正仿宋_GBK" w:cs="Times New Roman"/>
          <w:color w:val="auto"/>
          <w:sz w:val="32"/>
          <w:szCs w:val="32"/>
        </w:rPr>
        <w:t>贯彻落实。</w:t>
      </w:r>
    </w:p>
    <w:p w14:paraId="10958F7F">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z w:val="32"/>
          <w:szCs w:val="32"/>
        </w:rPr>
      </w:pPr>
    </w:p>
    <w:p w14:paraId="5BAD94DB">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z w:val="32"/>
          <w:szCs w:val="32"/>
        </w:rPr>
      </w:pPr>
    </w:p>
    <w:p w14:paraId="5B233EBB">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22" w:rightChars="7" w:firstLine="5120" w:firstLineChars="1600"/>
        <w:textAlignment w:val="auto"/>
        <w:rPr>
          <w:rFonts w:hint="default" w:ascii="Times New Roman" w:hAnsi="Times New Roman" w:eastAsia="方正仿宋_GBK" w:cs="Times New Roman"/>
          <w:color w:val="auto"/>
          <w:sz w:val="32"/>
          <w:szCs w:val="32"/>
          <w:lang w:val="en-US" w:eastAsia="zh-CN"/>
        </w:rPr>
      </w:pPr>
      <w:r>
        <w:rPr>
          <w:rFonts w:hint="eastAsia" w:ascii="Times New Roman" w:eastAsia="方正仿宋_GBK" w:cs="Times New Roman"/>
          <w:color w:val="auto"/>
          <w:sz w:val="32"/>
          <w:szCs w:val="32"/>
          <w:lang w:val="en-US" w:eastAsia="zh-CN"/>
        </w:rPr>
        <w:t>池州市人民政府办公室</w:t>
      </w:r>
    </w:p>
    <w:p w14:paraId="62D79FB0">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5760" w:firstLineChars="18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2025年12月5日</w:t>
      </w:r>
    </w:p>
    <w:p w14:paraId="453999F8">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z w:val="32"/>
          <w:szCs w:val="32"/>
          <w:lang w:val="en-US" w:eastAsia="zh-CN"/>
        </w:rPr>
        <w:sectPr>
          <w:footerReference r:id="rId3" w:type="default"/>
          <w:pgSz w:w="11906" w:h="16838"/>
          <w:pgMar w:top="1814" w:right="1418" w:bottom="1418" w:left="1503" w:header="851" w:footer="1701" w:gutter="0"/>
          <w:cols w:space="720" w:num="1"/>
          <w:docGrid w:type="lines" w:linePitch="312" w:charSpace="0"/>
        </w:sectPr>
      </w:pPr>
      <w:r>
        <w:rPr>
          <w:rFonts w:hint="default" w:ascii="Times New Roman" w:hAnsi="Times New Roman" w:eastAsia="方正仿宋_GBK" w:cs="Times New Roman"/>
          <w:color w:val="auto"/>
          <w:sz w:val="32"/>
          <w:szCs w:val="32"/>
          <w:lang w:val="en-US" w:eastAsia="zh-CN"/>
        </w:rPr>
        <w:t>（此件公开发布）</w:t>
      </w:r>
    </w:p>
    <w:p w14:paraId="68199273">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方正小标宋_GBK" w:hAnsi="方正小标宋_GBK" w:eastAsia="方正小标宋_GBK" w:cs="方正小标宋_GBK"/>
          <w:spacing w:val="-6"/>
          <w:sz w:val="44"/>
          <w:szCs w:val="44"/>
        </w:rPr>
      </w:pPr>
      <w:r>
        <w:rPr>
          <w:rFonts w:hint="default" w:ascii="方正小标宋_GBK" w:hAnsi="方正小标宋_GBK" w:eastAsia="方正小标宋_GBK" w:cs="方正小标宋_GBK"/>
          <w:spacing w:val="-6"/>
          <w:sz w:val="44"/>
          <w:szCs w:val="44"/>
        </w:rPr>
        <w:t>池州市以新型技术改造推动制造业高端化</w:t>
      </w:r>
    </w:p>
    <w:p w14:paraId="5B769248">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val="0"/>
          <w:bCs w:val="0"/>
          <w:color w:val="auto"/>
          <w:sz w:val="32"/>
          <w:szCs w:val="32"/>
          <w:lang w:eastAsia="zh-CN"/>
        </w:rPr>
      </w:pPr>
      <w:r>
        <w:rPr>
          <w:rFonts w:hint="default" w:ascii="方正小标宋_GBK" w:hAnsi="方正小标宋_GBK" w:eastAsia="方正小标宋_GBK" w:cs="方正小标宋_GBK"/>
          <w:spacing w:val="-6"/>
          <w:sz w:val="44"/>
          <w:szCs w:val="44"/>
        </w:rPr>
        <w:t>智能化绿色化发展行动方案</w:t>
      </w:r>
    </w:p>
    <w:p w14:paraId="09CB0E45">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rPr>
          <w:rFonts w:hint="default" w:ascii="Times New Roman" w:hAnsi="Times New Roman" w:eastAsia="方正仿宋_GBK" w:cs="Times New Roman"/>
          <w:color w:val="auto"/>
          <w:sz w:val="32"/>
          <w:szCs w:val="32"/>
        </w:rPr>
      </w:pPr>
    </w:p>
    <w:p w14:paraId="76BAB88B">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为深入贯彻</w:t>
      </w:r>
      <w:r>
        <w:rPr>
          <w:rFonts w:hint="default" w:ascii="Times New Roman" w:hAnsi="Times New Roman" w:eastAsia="方正仿宋_GBK" w:cs="Times New Roman"/>
          <w:color w:val="auto"/>
          <w:sz w:val="32"/>
          <w:szCs w:val="32"/>
          <w:lang w:eastAsia="zh-CN"/>
        </w:rPr>
        <w:t>习近平总书记考察安徽重要讲话精神</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lang w:eastAsia="zh-CN"/>
        </w:rPr>
        <w:t>认真落实《安徽省人民政府办公厅关于印发</w:t>
      </w:r>
      <w:r>
        <w:rPr>
          <w:rFonts w:hint="default" w:ascii="Times New Roman" w:hAnsi="Times New Roman" w:eastAsia="方正仿宋_GBK" w:cs="Times New Roman"/>
          <w:color w:val="auto"/>
          <w:sz w:val="32"/>
          <w:szCs w:val="32"/>
          <w:lang w:val="en-US" w:eastAsia="zh-CN"/>
        </w:rPr>
        <w:t>〈以新型技术改造推动制造业高端化智能化绿色化发展行动方案〉的通知</w:t>
      </w:r>
      <w:r>
        <w:rPr>
          <w:rFonts w:hint="default" w:ascii="Times New Roman" w:hAnsi="Times New Roman" w:eastAsia="方正仿宋_GBK" w:cs="Times New Roman"/>
          <w:color w:val="auto"/>
          <w:sz w:val="32"/>
          <w:szCs w:val="32"/>
          <w:lang w:eastAsia="zh-CN"/>
        </w:rPr>
        <w:t>》（皖政办〔202</w:t>
      </w:r>
      <w:r>
        <w:rPr>
          <w:rFonts w:hint="default" w:ascii="Times New Roman" w:hAnsi="Times New Roman"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8号</w:t>
      </w:r>
      <w:r>
        <w:rPr>
          <w:rFonts w:hint="default" w:ascii="Times New Roman" w:hAnsi="Times New Roman" w:eastAsia="方正仿宋_GBK" w:cs="Times New Roman"/>
          <w:color w:val="auto"/>
          <w:sz w:val="32"/>
          <w:szCs w:val="32"/>
          <w:lang w:eastAsia="zh-CN"/>
        </w:rPr>
        <w:t>）精神，</w:t>
      </w:r>
      <w:r>
        <w:rPr>
          <w:rFonts w:hint="default" w:ascii="Times New Roman" w:hAnsi="Times New Roman" w:eastAsia="方正仿宋_GBK" w:cs="Times New Roman"/>
          <w:color w:val="auto"/>
          <w:sz w:val="32"/>
          <w:szCs w:val="32"/>
          <w:lang w:val="en-US" w:eastAsia="zh-CN"/>
        </w:rPr>
        <w:t>深入推进“四个转变”、促进“两个更优”，</w:t>
      </w:r>
      <w:r>
        <w:rPr>
          <w:rFonts w:hint="default" w:ascii="Times New Roman" w:hAnsi="Times New Roman" w:eastAsia="方正仿宋_GBK" w:cs="Times New Roman"/>
          <w:color w:val="auto"/>
          <w:sz w:val="32"/>
          <w:szCs w:val="32"/>
          <w:lang w:eastAsia="zh-CN"/>
        </w:rPr>
        <w:t>大力实施以人工智能为牵引、以“智改数转网联绿色”为特征的新型技术改造，</w:t>
      </w:r>
      <w:r>
        <w:rPr>
          <w:rFonts w:hint="default" w:ascii="Times New Roman" w:hAnsi="Times New Roman" w:eastAsia="方正仿宋_GBK" w:cs="Times New Roman"/>
          <w:color w:val="auto"/>
          <w:sz w:val="32"/>
          <w:szCs w:val="32"/>
        </w:rPr>
        <w:t>推动制造业高端化</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智能化</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绿色化发展，制定如下行动方案。</w:t>
      </w:r>
    </w:p>
    <w:p w14:paraId="516690B5">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eastAsia" w:ascii="方正黑体_GBK" w:hAnsi="方正黑体_GBK" w:eastAsia="方正黑体_GBK" w:cs="方正黑体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一、总体目标</w:t>
      </w:r>
    </w:p>
    <w:p w14:paraId="3301AAFB">
      <w:pPr>
        <w:pStyle w:val="7"/>
        <w:keepNext w:val="0"/>
        <w:keepLines w:val="0"/>
        <w:pageBreakBefore w:val="0"/>
        <w:widowControl w:val="0"/>
        <w:kinsoku/>
        <w:wordWrap/>
        <w:overflowPunct/>
        <w:topLinePunct w:val="0"/>
        <w:autoSpaceDE/>
        <w:autoSpaceDN/>
        <w:bidi w:val="0"/>
        <w:adjustRightInd/>
        <w:snapToGrid/>
        <w:spacing w:line="590" w:lineRule="exact"/>
        <w:jc w:val="both"/>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围绕产业结构优化和质量提升，聚焦制造业重点领域，以人工智能为牵引，加快实施“智改数转网联绿色”新技改，引导企业技术升级和增资扩产，以投资结构优化带动产业结构提升，为推进新型工业化、发展新质生产力注入强劲动力。到202</w:t>
      </w:r>
      <w:r>
        <w:rPr>
          <w:rFonts w:hint="default" w:ascii="Times New Roman" w:hAnsi="Times New Roman" w:eastAsia="方正仿宋_GBK" w:cs="Times New Roman"/>
          <w:color w:val="auto"/>
          <w:sz w:val="32"/>
          <w:szCs w:val="32"/>
          <w:lang w:val="en-US" w:eastAsia="zh-CN"/>
        </w:rPr>
        <w:t>7</w:t>
      </w:r>
      <w:r>
        <w:rPr>
          <w:rFonts w:hint="default" w:ascii="Times New Roman" w:hAnsi="Times New Roman" w:eastAsia="方正仿宋_GBK" w:cs="Times New Roman"/>
          <w:color w:val="auto"/>
          <w:sz w:val="32"/>
          <w:szCs w:val="32"/>
          <w:lang w:eastAsia="zh-CN"/>
        </w:rPr>
        <w:t>年，</w:t>
      </w:r>
      <w:r>
        <w:rPr>
          <w:rFonts w:hint="default" w:ascii="Times New Roman" w:hAnsi="Times New Roman" w:eastAsia="方正仿宋_GBK" w:cs="Times New Roman"/>
          <w:color w:val="auto"/>
          <w:sz w:val="32"/>
          <w:szCs w:val="32"/>
          <w:lang w:val="en-US" w:eastAsia="zh-CN"/>
        </w:rPr>
        <w:t>全市</w:t>
      </w:r>
      <w:r>
        <w:rPr>
          <w:rFonts w:hint="default" w:ascii="Times New Roman" w:hAnsi="Times New Roman" w:eastAsia="方正仿宋_GBK" w:cs="Times New Roman"/>
          <w:color w:val="auto"/>
          <w:sz w:val="32"/>
          <w:szCs w:val="32"/>
          <w:lang w:eastAsia="zh-CN"/>
        </w:rPr>
        <w:t>累计培育各类智能工</w:t>
      </w:r>
      <w:r>
        <w:rPr>
          <w:rFonts w:hint="default" w:ascii="Times New Roman" w:hAnsi="Times New Roman" w:eastAsia="方正仿宋_GBK" w:cs="Times New Roman"/>
          <w:color w:val="auto"/>
          <w:spacing w:val="6"/>
          <w:sz w:val="32"/>
          <w:szCs w:val="32"/>
          <w:lang w:eastAsia="zh-CN"/>
        </w:rPr>
        <w:t>厂</w:t>
      </w:r>
      <w:r>
        <w:rPr>
          <w:rFonts w:hint="default" w:ascii="Times New Roman" w:hAnsi="Times New Roman" w:eastAsia="方正仿宋_GBK" w:cs="Times New Roman"/>
          <w:color w:val="auto"/>
          <w:spacing w:val="6"/>
          <w:sz w:val="32"/>
          <w:szCs w:val="32"/>
          <w:lang w:val="en-US" w:eastAsia="zh-CN"/>
        </w:rPr>
        <w:t>80个，规模以上工业企业数字化研发设计工具普及率、关键工序数控化率分别超过90%、80%；开展新型技术改造的规上企业占比达到90%以上</w:t>
      </w:r>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eastAsia="zh-CN"/>
        </w:rPr>
        <w:t>技改投</w:t>
      </w:r>
      <w:r>
        <w:rPr>
          <w:rFonts w:hint="default" w:ascii="Times New Roman" w:hAnsi="Times New Roman" w:eastAsia="方正仿宋_GBK" w:cs="Times New Roman"/>
          <w:color w:val="auto"/>
          <w:spacing w:val="6"/>
          <w:sz w:val="32"/>
          <w:szCs w:val="32"/>
          <w:lang w:eastAsia="zh-CN"/>
        </w:rPr>
        <w:t>资年均增长</w:t>
      </w:r>
      <w:r>
        <w:rPr>
          <w:rFonts w:hint="default" w:ascii="Times New Roman" w:hAnsi="Times New Roman" w:eastAsia="方正仿宋_GBK" w:cs="Times New Roman"/>
          <w:color w:val="auto"/>
          <w:spacing w:val="6"/>
          <w:sz w:val="32"/>
          <w:szCs w:val="32"/>
          <w:lang w:val="en-US" w:eastAsia="zh-CN"/>
        </w:rPr>
        <w:t>7</w:t>
      </w:r>
      <w:r>
        <w:rPr>
          <w:rFonts w:hint="default" w:ascii="Times New Roman" w:hAnsi="Times New Roman" w:eastAsia="方正仿宋_GBK" w:cs="Times New Roman"/>
          <w:color w:val="auto"/>
          <w:spacing w:val="6"/>
          <w:sz w:val="32"/>
          <w:szCs w:val="32"/>
          <w:lang w:eastAsia="zh-CN"/>
        </w:rPr>
        <w:t>%以上；建成</w:t>
      </w:r>
      <w:r>
        <w:rPr>
          <w:rFonts w:hint="default" w:ascii="Times New Roman" w:hAnsi="Times New Roman" w:eastAsia="方正仿宋_GBK" w:cs="Times New Roman"/>
          <w:color w:val="auto"/>
          <w:spacing w:val="6"/>
          <w:sz w:val="32"/>
          <w:szCs w:val="32"/>
          <w:lang w:val="en-US" w:eastAsia="zh-CN"/>
        </w:rPr>
        <w:t>省级以上绿色工厂50个，</w:t>
      </w:r>
      <w:r>
        <w:rPr>
          <w:rFonts w:hint="default" w:ascii="Times New Roman" w:hAnsi="Times New Roman" w:eastAsia="方正仿宋_GBK" w:cs="Times New Roman"/>
          <w:color w:val="auto"/>
          <w:spacing w:val="6"/>
          <w:sz w:val="32"/>
          <w:szCs w:val="32"/>
          <w:lang w:eastAsia="zh-CN"/>
        </w:rPr>
        <w:t>规上工业单位增加值能耗累计下降10%，制造业高端化、智能化、绿色化发展水平显著提升。</w:t>
      </w:r>
    </w:p>
    <w:p w14:paraId="6985E09F">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方正黑体_GBK" w:hAnsi="方正黑体_GBK" w:eastAsia="方正黑体_GBK" w:cs="方正黑体_GBK"/>
          <w:color w:val="auto"/>
          <w:sz w:val="32"/>
          <w:szCs w:val="32"/>
          <w:lang w:val="en-US" w:eastAsia="zh-CN"/>
        </w:rPr>
      </w:pPr>
      <w:r>
        <w:rPr>
          <w:rFonts w:hint="default" w:ascii="方正黑体_GBK" w:hAnsi="方正黑体_GBK" w:eastAsia="方正黑体_GBK" w:cs="方正黑体_GBK"/>
          <w:color w:val="auto"/>
          <w:sz w:val="32"/>
          <w:szCs w:val="32"/>
          <w:lang w:val="en-US" w:eastAsia="zh-CN"/>
        </w:rPr>
        <w:t>二、改造方向</w:t>
      </w:r>
    </w:p>
    <w:p w14:paraId="7736631A">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Times New Roman" w:hAnsi="Times New Roman" w:eastAsia="方正仿宋_GBK" w:cs="Times New Roman"/>
          <w:color w:val="auto"/>
          <w:sz w:val="32"/>
          <w:szCs w:val="32"/>
          <w:lang w:val="en-US" w:eastAsia="zh-CN"/>
        </w:rPr>
      </w:pPr>
      <w:r>
        <w:rPr>
          <w:rFonts w:hint="eastAsia" w:ascii="方正楷体_GBK" w:hAnsi="方正楷体_GBK" w:eastAsia="方正楷体_GBK" w:cs="方正楷体_GBK"/>
          <w:b w:val="0"/>
          <w:bCs w:val="0"/>
          <w:color w:val="auto"/>
          <w:sz w:val="32"/>
          <w:szCs w:val="32"/>
          <w:lang w:val="en-US" w:eastAsia="zh-CN"/>
        </w:rPr>
        <w:t>（一）高端化改造提升方向。</w:t>
      </w:r>
      <w:r>
        <w:rPr>
          <w:rFonts w:hint="default" w:ascii="Times New Roman" w:hAnsi="Times New Roman" w:eastAsia="方正仿宋_GBK" w:cs="Times New Roman"/>
          <w:color w:val="auto"/>
          <w:sz w:val="32"/>
          <w:szCs w:val="32"/>
          <w:lang w:val="en-US" w:eastAsia="zh-CN"/>
        </w:rPr>
        <w:t>支持制造业通过产业升级和技术创新，提升企业竞争力和产品附加值。鼓励企业加快老旧、低效设备更新改造，更新一批高技术、高效率、高可靠性的先进设备。支持企业加快关键核心技术研发，加强产业基础能力建设，突破制造业关键核心技术、基础零部件、基础材料等瓶颈短板，加快形成一批高技术、高附加值产品。支持制造业企业向产业链上游研发设计和下游服务环节延伸，推动先进制造业与现代服务业深度融合。</w:t>
      </w:r>
    </w:p>
    <w:p w14:paraId="24446ED3">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Times New Roman" w:hAnsi="Times New Roman" w:eastAsia="方正仿宋_GBK" w:cs="Times New Roman"/>
          <w:color w:val="auto"/>
          <w:sz w:val="32"/>
          <w:szCs w:val="32"/>
          <w:lang w:val="en-US" w:eastAsia="zh-CN"/>
        </w:rPr>
      </w:pPr>
      <w:r>
        <w:rPr>
          <w:rFonts w:hint="default" w:ascii="方正楷体_GBK" w:hAnsi="方正楷体_GBK" w:eastAsia="方正楷体_GBK" w:cs="方正楷体_GBK"/>
          <w:b w:val="0"/>
          <w:bCs w:val="0"/>
          <w:color w:val="auto"/>
          <w:sz w:val="32"/>
          <w:szCs w:val="32"/>
          <w:lang w:val="en-US" w:eastAsia="zh-CN"/>
        </w:rPr>
        <w:t>（二）智能化改造提升方向。</w:t>
      </w:r>
      <w:r>
        <w:rPr>
          <w:rFonts w:hint="default" w:ascii="Times New Roman" w:hAnsi="Times New Roman" w:eastAsia="方正仿宋_GBK" w:cs="Times New Roman"/>
          <w:color w:val="auto"/>
          <w:sz w:val="32"/>
          <w:szCs w:val="32"/>
          <w:lang w:val="en-US" w:eastAsia="zh-CN"/>
        </w:rPr>
        <w:t>支持制造业通过生产自动化、监控实时化、装备智能化等手段对生产制造全流程进行优化，实现智能控制和系统优化。支持企业围绕强基础、建平台、延链条开展集成应用创新，提高产业链协作效率和供应链一体化协同水平。支持企业实施全流程智能化改造，分层次、系统性建设智能工厂、5G工厂。支持打造面向重点行业、产业集群和供应链协同的多层次工业互联网平台，推动平台持续汇聚工业APP、工业模型、解决方案等资源。</w:t>
      </w:r>
    </w:p>
    <w:p w14:paraId="184E634F">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Times New Roman" w:hAnsi="Times New Roman" w:eastAsia="方正仿宋_GBK" w:cs="Times New Roman"/>
          <w:color w:val="auto"/>
          <w:sz w:val="32"/>
          <w:szCs w:val="32"/>
          <w:lang w:val="en-US" w:eastAsia="zh-CN"/>
        </w:rPr>
      </w:pPr>
      <w:r>
        <w:rPr>
          <w:rFonts w:hint="default" w:ascii="方正楷体_GBK" w:hAnsi="方正楷体_GBK" w:eastAsia="方正楷体_GBK" w:cs="方正楷体_GBK"/>
          <w:b w:val="0"/>
          <w:bCs w:val="0"/>
          <w:color w:val="auto"/>
          <w:sz w:val="32"/>
          <w:szCs w:val="32"/>
          <w:lang w:val="en-US" w:eastAsia="zh-CN"/>
        </w:rPr>
        <w:t>（三）绿色化改造提升方向。</w:t>
      </w:r>
      <w:r>
        <w:rPr>
          <w:rFonts w:hint="default" w:ascii="Times New Roman" w:hAnsi="Times New Roman" w:eastAsia="方正仿宋_GBK" w:cs="Times New Roman"/>
          <w:color w:val="auto"/>
          <w:sz w:val="32"/>
          <w:szCs w:val="32"/>
          <w:lang w:val="en-US" w:eastAsia="zh-CN"/>
        </w:rPr>
        <w:t>支持制造业企业通过技术创新、管理优化等手段，实现资源高效利用、节能减排、清洁生产，推动工业绿色低碳循环发展。</w:t>
      </w:r>
      <w:r>
        <w:rPr>
          <w:rFonts w:hint="default" w:ascii="Times New Roman" w:hAnsi="Times New Roman" w:eastAsia="方正仿宋_GBK" w:cs="Times New Roman"/>
          <w:color w:val="auto"/>
          <w:sz w:val="32"/>
          <w:szCs w:val="32"/>
        </w:rPr>
        <w:t>强化技术、质量、能耗、排放等标准引领，推动重点用能设备能效升级，加快淘汰落后设备、使用先进设备。</w:t>
      </w:r>
      <w:r>
        <w:rPr>
          <w:rFonts w:hint="default" w:ascii="Times New Roman" w:hAnsi="Times New Roman" w:eastAsia="方正仿宋_GBK" w:cs="Times New Roman"/>
          <w:color w:val="auto"/>
          <w:sz w:val="32"/>
          <w:szCs w:val="32"/>
          <w:lang w:val="en-US" w:eastAsia="zh-CN"/>
        </w:rPr>
        <w:t>支持传统产业企业开展产品、用能、原料结构优化及流程清洁化、循环化、低碳化改造。支持节能、节水、节材、资源综合利用等绿色工艺和技术推广应用，推动企业、园区、行业绿色低碳改造升级。支持企业参与绿色工厂、绿色供应链建设。</w:t>
      </w:r>
    </w:p>
    <w:p w14:paraId="46AF331D">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Times New Roman" w:hAnsi="Times New Roman" w:eastAsia="方正仿宋_GBK" w:cs="Times New Roman"/>
          <w:b w:val="0"/>
          <w:bCs w:val="0"/>
          <w:color w:val="auto"/>
          <w:sz w:val="32"/>
          <w:szCs w:val="32"/>
          <w:lang w:val="en-US" w:eastAsia="zh-CN"/>
        </w:rPr>
      </w:pPr>
      <w:r>
        <w:rPr>
          <w:rFonts w:hint="default" w:ascii="方正黑体_GBK" w:hAnsi="方正黑体_GBK" w:eastAsia="方正黑体_GBK" w:cs="方正黑体_GBK"/>
          <w:color w:val="auto"/>
          <w:sz w:val="32"/>
          <w:szCs w:val="32"/>
          <w:lang w:val="en-US" w:eastAsia="zh-CN"/>
        </w:rPr>
        <w:t>三、重点任务</w:t>
      </w:r>
    </w:p>
    <w:p w14:paraId="36F69AEB">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方正楷体_GBK" w:hAnsi="方正楷体_GBK" w:eastAsia="方正楷体_GBK" w:cs="方正楷体_GBK"/>
          <w:b w:val="0"/>
          <w:bCs w:val="0"/>
          <w:color w:val="auto"/>
          <w:sz w:val="32"/>
          <w:szCs w:val="32"/>
          <w:lang w:val="en-US" w:eastAsia="zh-CN"/>
        </w:rPr>
      </w:pPr>
      <w:r>
        <w:rPr>
          <w:rFonts w:hint="eastAsia" w:ascii="方正楷体_GBK" w:hAnsi="方正楷体_GBK" w:eastAsia="方正楷体_GBK" w:cs="方正楷体_GBK"/>
          <w:b w:val="0"/>
          <w:bCs w:val="0"/>
          <w:color w:val="auto"/>
          <w:sz w:val="32"/>
          <w:szCs w:val="32"/>
          <w:lang w:val="en-US" w:eastAsia="zh-CN"/>
        </w:rPr>
        <w:t>一是强化项目谋划。</w:t>
      </w:r>
      <w:r>
        <w:rPr>
          <w:rFonts w:hint="default" w:ascii="Times New Roman" w:hAnsi="Times New Roman" w:eastAsia="方正仿宋_GBK" w:cs="Times New Roman"/>
          <w:color w:val="auto"/>
          <w:sz w:val="32"/>
          <w:szCs w:val="32"/>
          <w:lang w:val="en-US" w:eastAsia="zh-CN"/>
        </w:rPr>
        <w:t>围绕制造业高端化、智能化、绿色化支持方向，面向国家重大需求和市场紧缺方向，</w:t>
      </w:r>
      <w:r>
        <w:rPr>
          <w:rFonts w:hint="default" w:ascii="Times New Roman" w:hAnsi="Times New Roman" w:eastAsia="方正仿宋_GBK" w:cs="Times New Roman"/>
          <w:color w:val="auto"/>
          <w:sz w:val="32"/>
          <w:szCs w:val="32"/>
          <w:lang w:eastAsia="zh-CN"/>
        </w:rPr>
        <w:t>对照</w:t>
      </w:r>
      <w:r>
        <w:rPr>
          <w:rFonts w:hint="default" w:ascii="Times New Roman" w:hAnsi="Times New Roman" w:eastAsia="方正仿宋_GBK" w:cs="Times New Roman"/>
          <w:color w:val="auto"/>
          <w:sz w:val="32"/>
          <w:szCs w:val="32"/>
          <w:lang w:val="en-US" w:eastAsia="zh-CN"/>
        </w:rPr>
        <w:t>省有关</w:t>
      </w:r>
      <w:r>
        <w:rPr>
          <w:rFonts w:hint="default" w:ascii="Times New Roman" w:hAnsi="Times New Roman" w:eastAsia="方正仿宋_GBK" w:cs="Times New Roman"/>
          <w:color w:val="auto"/>
          <w:sz w:val="32"/>
          <w:szCs w:val="32"/>
          <w:lang w:eastAsia="zh-CN"/>
        </w:rPr>
        <w:t>制造业重点领域新型技术改造投资</w:t>
      </w:r>
      <w:r>
        <w:rPr>
          <w:rFonts w:hint="default" w:ascii="Times New Roman" w:hAnsi="Times New Roman" w:eastAsia="方正仿宋_GBK" w:cs="Times New Roman"/>
          <w:color w:val="auto"/>
          <w:sz w:val="32"/>
          <w:szCs w:val="32"/>
          <w:lang w:val="en-US" w:eastAsia="zh-CN"/>
        </w:rPr>
        <w:t>有关政策文件</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结合“十五五”规划编制，谋划一批投资规模大、技术水平高、数智融合深的重大技改项目，分县区、分行业、分类别建立储备项目库，形成500个以上、总投资达2000亿元以上的项目清单，每年滚动实施亿元以上重点技术改造项目80个以上。</w:t>
      </w:r>
      <w:r>
        <w:rPr>
          <w:rFonts w:hint="default" w:ascii="方正楷体_GBK" w:hAnsi="方正楷体_GBK" w:eastAsia="方正楷体_GBK" w:cs="方正楷体_GBK"/>
          <w:b w:val="0"/>
          <w:bCs w:val="0"/>
          <w:color w:val="auto"/>
          <w:sz w:val="32"/>
          <w:szCs w:val="32"/>
          <w:lang w:val="en-US" w:eastAsia="zh-CN"/>
        </w:rPr>
        <w:t>（责任单位：市工业和信息化局、市发展改革委。各县区人民政府，江南新兴产业集中区、开发区、平天湖风景区管委会）</w:t>
      </w:r>
    </w:p>
    <w:p w14:paraId="30C70D8A">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Times New Roman" w:hAnsi="Times New Roman" w:eastAsia="方正仿宋_GBK" w:cs="Times New Roman"/>
          <w:color w:val="auto"/>
          <w:sz w:val="32"/>
          <w:szCs w:val="32"/>
          <w:lang w:val="en-US" w:eastAsia="zh-CN"/>
        </w:rPr>
      </w:pPr>
      <w:r>
        <w:rPr>
          <w:rFonts w:hint="default" w:ascii="方正楷体_GBK" w:hAnsi="方正楷体_GBK" w:eastAsia="方正楷体_GBK" w:cs="方正楷体_GBK"/>
          <w:b w:val="0"/>
          <w:bCs w:val="0"/>
          <w:color w:val="auto"/>
          <w:sz w:val="32"/>
          <w:szCs w:val="32"/>
          <w:lang w:val="en-US" w:eastAsia="zh-CN"/>
        </w:rPr>
        <w:t>二是提升创新能力。</w:t>
      </w:r>
      <w:r>
        <w:rPr>
          <w:rFonts w:hint="default" w:ascii="Times New Roman" w:hAnsi="Times New Roman" w:eastAsia="方正仿宋_GBK" w:cs="Times New Roman"/>
          <w:color w:val="auto"/>
          <w:sz w:val="32"/>
          <w:szCs w:val="32"/>
          <w:lang w:val="en-US" w:eastAsia="zh-CN"/>
        </w:rPr>
        <w:t>支持制造业重点企业建设制造业创新中心、产业创新中心、中试平台、重点实验室等，加快企业技术中心、工业设计中心、工程研究中心覆盖范围，每年培育省级以上创新平台10个以上。支持企业加快创新成果产业化进程，加快创新产品迭代升级，每年培育省级以上创新产品20个以上。加强质量和品牌建设，支持企业主持或</w:t>
      </w:r>
      <w:r>
        <w:rPr>
          <w:rFonts w:hint="default" w:ascii="Times New Roman" w:hAnsi="Times New Roman" w:eastAsia="方正仿宋_GBK" w:cs="Times New Roman"/>
          <w:color w:val="auto"/>
          <w:kern w:val="2"/>
          <w:sz w:val="32"/>
          <w:szCs w:val="32"/>
          <w:lang w:val="en-US" w:eastAsia="zh-CN" w:bidi="ar-SA"/>
        </w:rPr>
        <w:t>参与制定国际标准、国家标准和行业标准，</w:t>
      </w:r>
      <w:r>
        <w:rPr>
          <w:rFonts w:hint="default" w:ascii="Times New Roman" w:hAnsi="Times New Roman" w:eastAsia="方正仿宋_GBK" w:cs="Times New Roman"/>
          <w:color w:val="auto"/>
          <w:sz w:val="32"/>
          <w:szCs w:val="32"/>
          <w:lang w:val="en-US" w:eastAsia="zh-CN"/>
        </w:rPr>
        <w:t>每年培育消费品工业知名品牌的企业5个。</w:t>
      </w:r>
      <w:r>
        <w:rPr>
          <w:rFonts w:hint="default" w:ascii="方正楷体_GBK" w:hAnsi="方正楷体_GBK" w:eastAsia="方正楷体_GBK" w:cs="方正楷体_GBK"/>
          <w:b w:val="0"/>
          <w:bCs w:val="0"/>
          <w:color w:val="auto"/>
          <w:sz w:val="32"/>
          <w:szCs w:val="32"/>
          <w:lang w:val="en-US" w:eastAsia="zh-CN"/>
        </w:rPr>
        <w:t>（责任单位：市工业和信息化局、市发展改革委、市科技局、市市场监督</w:t>
      </w:r>
      <w:r>
        <w:rPr>
          <w:rFonts w:hint="eastAsia" w:ascii="方正楷体_GBK" w:hAnsi="方正楷体_GBK" w:eastAsia="方正楷体_GBK" w:cs="方正楷体_GBK"/>
          <w:b w:val="0"/>
          <w:bCs w:val="0"/>
          <w:color w:val="auto"/>
          <w:sz w:val="32"/>
          <w:szCs w:val="32"/>
          <w:lang w:val="en-US" w:eastAsia="zh-CN"/>
        </w:rPr>
        <w:t>管理</w:t>
      </w:r>
      <w:bookmarkStart w:id="1" w:name="_GoBack"/>
      <w:bookmarkEnd w:id="1"/>
      <w:r>
        <w:rPr>
          <w:rFonts w:hint="default" w:ascii="方正楷体_GBK" w:hAnsi="方正楷体_GBK" w:eastAsia="方正楷体_GBK" w:cs="方正楷体_GBK"/>
          <w:b w:val="0"/>
          <w:bCs w:val="0"/>
          <w:color w:val="auto"/>
          <w:sz w:val="32"/>
          <w:szCs w:val="32"/>
          <w:lang w:val="en-US" w:eastAsia="zh-CN"/>
        </w:rPr>
        <w:t>局。各县区人民政府，江南新兴产业集中区、开发区、平天湖风景区管委会）</w:t>
      </w:r>
    </w:p>
    <w:p w14:paraId="088C63B1">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方正楷体_GBK" w:hAnsi="方正楷体_GBK" w:eastAsia="方正楷体_GBK" w:cs="方正楷体_GBK"/>
          <w:b w:val="0"/>
          <w:bCs w:val="0"/>
          <w:color w:val="auto"/>
          <w:sz w:val="32"/>
          <w:szCs w:val="32"/>
          <w:lang w:val="en-US" w:eastAsia="zh-CN"/>
        </w:rPr>
      </w:pPr>
      <w:r>
        <w:rPr>
          <w:rFonts w:hint="default" w:ascii="方正楷体_GBK" w:hAnsi="方正楷体_GBK" w:eastAsia="方正楷体_GBK" w:cs="方正楷体_GBK"/>
          <w:b w:val="0"/>
          <w:bCs w:val="0"/>
          <w:color w:val="auto"/>
          <w:sz w:val="32"/>
          <w:szCs w:val="32"/>
          <w:lang w:val="en-US" w:eastAsia="zh-CN"/>
        </w:rPr>
        <w:t>三是培育优质企业。</w:t>
      </w:r>
      <w:r>
        <w:rPr>
          <w:rFonts w:hint="default" w:ascii="Times New Roman" w:hAnsi="Times New Roman" w:eastAsia="方正仿宋_GBK" w:cs="Times New Roman"/>
          <w:color w:val="auto"/>
          <w:sz w:val="32"/>
          <w:szCs w:val="32"/>
          <w:lang w:val="en-US" w:eastAsia="zh-CN"/>
        </w:rPr>
        <w:t>实施制造业优质企业成长计划，支持有基础、有条件的企业先行先试，打造一批新型技术改造转型标杆项目。鼓励和支持专精特新企业实现新型技术改造应改尽改，专精特新“小巨人”企业开展系统化集成改造，省级专精特新中小企业、规上工业中小企业实施重点场景深度改造。传统产业中的钢铁、水泥、化工等企业，深化先进数智技术赋能，开展全流程智能、绿色升级改造，全面提升企业市场竞争力。</w:t>
      </w:r>
      <w:r>
        <w:rPr>
          <w:rFonts w:hint="default" w:ascii="方正楷体_GBK" w:hAnsi="方正楷体_GBK" w:eastAsia="方正楷体_GBK" w:cs="方正楷体_GBK"/>
          <w:b w:val="0"/>
          <w:bCs w:val="0"/>
          <w:color w:val="auto"/>
          <w:sz w:val="32"/>
          <w:szCs w:val="32"/>
          <w:lang w:val="en-US" w:eastAsia="zh-CN"/>
        </w:rPr>
        <w:t>（责任单位：市工业和信息化局。各县区人民政府，江南新兴产业集中区、开发区、平天湖风景区管委会）</w:t>
      </w:r>
    </w:p>
    <w:p w14:paraId="1EB332E6">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方正楷体_GBK" w:hAnsi="方正楷体_GBK" w:eastAsia="方正楷体_GBK" w:cs="方正楷体_GBK"/>
          <w:b w:val="0"/>
          <w:bCs w:val="0"/>
          <w:color w:val="auto"/>
          <w:sz w:val="32"/>
          <w:szCs w:val="32"/>
          <w:lang w:val="en-US" w:eastAsia="zh-CN"/>
        </w:rPr>
      </w:pPr>
      <w:r>
        <w:rPr>
          <w:rFonts w:hint="default" w:ascii="方正楷体_GBK" w:hAnsi="方正楷体_GBK" w:eastAsia="方正楷体_GBK" w:cs="方正楷体_GBK"/>
          <w:b w:val="0"/>
          <w:bCs w:val="0"/>
          <w:color w:val="auto"/>
          <w:sz w:val="32"/>
          <w:szCs w:val="32"/>
          <w:lang w:val="en-US" w:eastAsia="zh-CN"/>
        </w:rPr>
        <w:t>四是加快数实融合。</w:t>
      </w:r>
      <w:r>
        <w:rPr>
          <w:rFonts w:hint="default" w:ascii="Times New Roman" w:hAnsi="Times New Roman" w:eastAsia="方正仿宋_GBK" w:cs="Times New Roman"/>
          <w:color w:val="auto"/>
          <w:sz w:val="32"/>
          <w:szCs w:val="32"/>
          <w:lang w:val="en-US" w:eastAsia="zh-CN"/>
        </w:rPr>
        <w:t>加强网络基础设施建设，建设高质量工业互联网外网，实现全市工业园区、制造业集聚区5G网络全覆盖，力争实现5G工厂零突破。持续开展中小企业“上云用数赋智”服务，实现中小企业规模化、普惠式数字化转型。鼓励支持半导体、装备制造、新材料等重点行业企业，加大数字化改造力度，每年建设10个工业互联网平台。培育引进优秀服务商，建立服务商资源池，鼓励优秀服务商梳理提炼细分行业共性问题和应用场景。</w:t>
      </w:r>
      <w:r>
        <w:rPr>
          <w:rFonts w:hint="default" w:ascii="方正楷体_GBK" w:hAnsi="方正楷体_GBK" w:eastAsia="方正楷体_GBK" w:cs="方正楷体_GBK"/>
          <w:b w:val="0"/>
          <w:bCs w:val="0"/>
          <w:color w:val="auto"/>
          <w:sz w:val="32"/>
          <w:szCs w:val="32"/>
          <w:lang w:val="en-US" w:eastAsia="zh-CN"/>
        </w:rPr>
        <w:t>（责任单位：市工业和信息化局。各县区人民政府，江南新兴产业集中区、开发区、平天湖风景区管委会）</w:t>
      </w:r>
    </w:p>
    <w:p w14:paraId="2B911CCB">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方正楷体_GBK" w:hAnsi="方正楷体_GBK" w:eastAsia="方正楷体_GBK" w:cs="方正楷体_GBK"/>
          <w:b w:val="0"/>
          <w:bCs w:val="0"/>
          <w:color w:val="auto"/>
          <w:sz w:val="32"/>
          <w:szCs w:val="32"/>
          <w:lang w:val="en-US" w:eastAsia="zh-CN"/>
        </w:rPr>
      </w:pPr>
      <w:r>
        <w:rPr>
          <w:rFonts w:hint="default" w:ascii="方正楷体_GBK" w:hAnsi="方正楷体_GBK" w:eastAsia="方正楷体_GBK" w:cs="方正楷体_GBK"/>
          <w:b w:val="0"/>
          <w:bCs w:val="0"/>
          <w:color w:val="auto"/>
          <w:sz w:val="32"/>
          <w:szCs w:val="32"/>
          <w:lang w:val="en-US" w:eastAsia="zh-CN"/>
        </w:rPr>
        <w:t>五是推进智能制造。</w:t>
      </w:r>
      <w:r>
        <w:rPr>
          <w:rFonts w:hint="default" w:ascii="Times New Roman" w:hAnsi="Times New Roman" w:eastAsia="方正仿宋_GBK" w:cs="Times New Roman"/>
          <w:color w:val="auto"/>
          <w:sz w:val="32"/>
          <w:szCs w:val="32"/>
          <w:lang w:val="en-US" w:eastAsia="zh-CN"/>
        </w:rPr>
        <w:t>落实“人工智能+制造”行动，推动人工智能技术在研发设计、生产制造、运营管理等重点环节培育应用场景，每年打造10项具有示范性的应用场景。开展智能工厂梯度培育建设行动，加速人工智能、大数据等新技术在智能制造中的深度应用，每年建设基础级智能工厂10个、先进级智能工厂2个。推动企业研发、生产、经营等全流程数据采集，建设制造业领域高质量数据集。</w:t>
      </w:r>
      <w:r>
        <w:rPr>
          <w:rFonts w:hint="default" w:ascii="方正楷体_GBK" w:hAnsi="方正楷体_GBK" w:eastAsia="方正楷体_GBK" w:cs="方正楷体_GBK"/>
          <w:b w:val="0"/>
          <w:bCs w:val="0"/>
          <w:color w:val="auto"/>
          <w:sz w:val="32"/>
          <w:szCs w:val="32"/>
          <w:lang w:val="en-US" w:eastAsia="zh-CN"/>
        </w:rPr>
        <w:t>（责任单位：市工业和信息化局、市发展改革委、市科技局、市数据资源局。各县区人民政府，江南新兴产业集中区、开发区、平天湖风景区管委会）</w:t>
      </w:r>
    </w:p>
    <w:p w14:paraId="02E35AD9">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方正楷体_GBK" w:hAnsi="方正楷体_GBK" w:eastAsia="方正楷体_GBK" w:cs="方正楷体_GBK"/>
          <w:b w:val="0"/>
          <w:bCs w:val="0"/>
          <w:color w:val="auto"/>
          <w:sz w:val="32"/>
          <w:szCs w:val="32"/>
          <w:lang w:val="en-US" w:eastAsia="zh-CN"/>
        </w:rPr>
      </w:pPr>
      <w:r>
        <w:rPr>
          <w:rFonts w:hint="default" w:ascii="方正楷体_GBK" w:hAnsi="方正楷体_GBK" w:eastAsia="方正楷体_GBK" w:cs="方正楷体_GBK"/>
          <w:b w:val="0"/>
          <w:bCs w:val="0"/>
          <w:color w:val="auto"/>
          <w:sz w:val="32"/>
          <w:szCs w:val="32"/>
          <w:lang w:val="en-US" w:eastAsia="zh-CN"/>
        </w:rPr>
        <w:t>六是提升绿色水平。</w:t>
      </w:r>
      <w:r>
        <w:rPr>
          <w:rFonts w:hint="default" w:ascii="Times New Roman" w:hAnsi="Times New Roman" w:eastAsia="方正仿宋_GBK" w:cs="Times New Roman"/>
          <w:color w:val="auto"/>
          <w:sz w:val="32"/>
          <w:szCs w:val="32"/>
          <w:lang w:val="en-US" w:eastAsia="zh-CN"/>
        </w:rPr>
        <w:t>实施制造业绿色化改造，对照重点领域能效标杆水平或行业领先水平，支持企业开展清洁化、循环化、低碳化技术改造，创建国家级“水效领跑者”“能效领跑者”和省级“节水型标杆”，全面提升绿色发展水平。大力推进绿色工业园区、国家绿色工厂、国家级绿色设计产品、绿色供应链管理企业等四位一体的绿色体系建设，每年新增省级以上绿色工厂5家。</w:t>
      </w:r>
      <w:r>
        <w:rPr>
          <w:rFonts w:hint="default" w:ascii="方正楷体_GBK" w:hAnsi="方正楷体_GBK" w:eastAsia="方正楷体_GBK" w:cs="方正楷体_GBK"/>
          <w:b w:val="0"/>
          <w:bCs w:val="0"/>
          <w:color w:val="auto"/>
          <w:sz w:val="32"/>
          <w:szCs w:val="32"/>
          <w:lang w:val="en-US" w:eastAsia="zh-CN"/>
        </w:rPr>
        <w:t>（责任单位：市工业和信息化局、市发展改革委。各县区人民政府，江南新兴产业集中区、开发区、平天湖风景区管委会）</w:t>
      </w:r>
    </w:p>
    <w:p w14:paraId="7EC828A2">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方正楷体_GBK" w:hAnsi="方正楷体_GBK" w:eastAsia="方正楷体_GBK" w:cs="方正楷体_GBK"/>
          <w:b w:val="0"/>
          <w:bCs w:val="0"/>
          <w:color w:val="auto"/>
          <w:sz w:val="32"/>
          <w:szCs w:val="32"/>
          <w:lang w:val="en-US" w:eastAsia="zh-CN"/>
        </w:rPr>
      </w:pPr>
      <w:r>
        <w:rPr>
          <w:rFonts w:hint="default" w:ascii="方正楷体_GBK" w:hAnsi="方正楷体_GBK" w:eastAsia="方正楷体_GBK" w:cs="方正楷体_GBK"/>
          <w:b w:val="0"/>
          <w:bCs w:val="0"/>
          <w:color w:val="auto"/>
          <w:sz w:val="32"/>
          <w:szCs w:val="32"/>
          <w:lang w:val="en-US" w:eastAsia="zh-CN"/>
        </w:rPr>
        <w:t>七是加大集群建设。</w:t>
      </w:r>
      <w:r>
        <w:rPr>
          <w:rFonts w:hint="default" w:ascii="Times New Roman" w:hAnsi="Times New Roman" w:eastAsia="方正仿宋_GBK" w:cs="Times New Roman"/>
          <w:color w:val="auto"/>
          <w:sz w:val="32"/>
          <w:szCs w:val="32"/>
          <w:lang w:val="en-US" w:eastAsia="zh-CN"/>
        </w:rPr>
        <w:t>落实省有关培优育强县域制造业特色产业集群等工作要求，对照全省县域特色制造业产业集群规划图，支持县区聚焦主导产业，深化集群化发展思路，大力培育制造业特色产业集群，实现“一县一制造业集群”。支持制造业集群内企业围绕强链延链补链，谋划新型技术改造项目，提升产业链水平。支持县区联合申报省级先进制造业集群，实现资源联动、协同发展。支持县区联合园区培育中小企业特色产业集群，积极争创国家级中小企业特色产业集群，提升企业耦合度、产业集聚度。</w:t>
      </w:r>
      <w:r>
        <w:rPr>
          <w:rFonts w:hint="default" w:ascii="方正楷体_GBK" w:hAnsi="方正楷体_GBK" w:eastAsia="方正楷体_GBK" w:cs="方正楷体_GBK"/>
          <w:b w:val="0"/>
          <w:bCs w:val="0"/>
          <w:color w:val="auto"/>
          <w:sz w:val="32"/>
          <w:szCs w:val="32"/>
          <w:lang w:val="en-US" w:eastAsia="zh-CN"/>
        </w:rPr>
        <w:t>（责任单位：市工业和信息化局。各县区人民政府，江南新兴产业集中区、开发区、平天湖风景区管委会）</w:t>
      </w:r>
    </w:p>
    <w:p w14:paraId="0453B1FC">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方正楷体_GBK" w:hAnsi="方正楷体_GBK" w:eastAsia="方正楷体_GBK" w:cs="方正楷体_GBK"/>
          <w:b w:val="0"/>
          <w:bCs w:val="0"/>
          <w:color w:val="auto"/>
          <w:sz w:val="32"/>
          <w:szCs w:val="32"/>
          <w:lang w:val="en-US" w:eastAsia="zh-CN"/>
        </w:rPr>
      </w:pPr>
      <w:r>
        <w:rPr>
          <w:rFonts w:hint="default" w:ascii="方正楷体_GBK" w:hAnsi="方正楷体_GBK" w:eastAsia="方正楷体_GBK" w:cs="方正楷体_GBK"/>
          <w:b w:val="0"/>
          <w:bCs w:val="0"/>
          <w:color w:val="auto"/>
          <w:sz w:val="32"/>
          <w:szCs w:val="32"/>
          <w:lang w:val="en-US" w:eastAsia="zh-CN"/>
        </w:rPr>
        <w:t>八是强化政策支持。</w:t>
      </w:r>
      <w:r>
        <w:rPr>
          <w:rFonts w:hint="default" w:ascii="Times New Roman" w:hAnsi="Times New Roman" w:eastAsia="方正仿宋_GBK" w:cs="Times New Roman"/>
          <w:color w:val="auto"/>
          <w:sz w:val="32"/>
          <w:szCs w:val="32"/>
          <w:lang w:val="en-US" w:eastAsia="zh-CN"/>
        </w:rPr>
        <w:t>深入研究省级新型技术改造政策支持方向，指导企业将自身发展与支持方向结合起来，加强项目全过程指导，推动更多项目得到省级政策支持。用好市级支持工业经济高质量发展政策，提高政策惠企覆盖面。加强新型技术改造项目全要素保障，深化金融、人才等支持力度，推动项目早开工、早建成、早投产。</w:t>
      </w:r>
      <w:r>
        <w:rPr>
          <w:rFonts w:hint="default" w:ascii="方正楷体_GBK" w:hAnsi="方正楷体_GBK" w:eastAsia="方正楷体_GBK" w:cs="方正楷体_GBK"/>
          <w:b w:val="0"/>
          <w:bCs w:val="0"/>
          <w:color w:val="auto"/>
          <w:sz w:val="32"/>
          <w:szCs w:val="32"/>
          <w:lang w:val="en-US" w:eastAsia="zh-CN"/>
        </w:rPr>
        <w:t>（责任单位：市工业和信息化局、市财政局、市人力资源社会保障局、国家金融监管总局池州分局。各县区人民政府，江南新兴产业集中区、开发区、平天湖风景区管委会）</w:t>
      </w:r>
    </w:p>
    <w:p w14:paraId="5A741E1B">
      <w:pPr>
        <w:pStyle w:val="7"/>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rPr>
          <w:rFonts w:hint="default" w:ascii="方正黑体_GBK" w:hAnsi="方正黑体_GBK" w:eastAsia="方正黑体_GBK" w:cs="方正黑体_GBK"/>
          <w:color w:val="auto"/>
          <w:sz w:val="32"/>
          <w:szCs w:val="32"/>
          <w:lang w:val="en-US" w:eastAsia="zh-CN"/>
        </w:rPr>
      </w:pPr>
      <w:r>
        <w:rPr>
          <w:rFonts w:hint="default" w:ascii="方正黑体_GBK" w:hAnsi="方正黑体_GBK" w:eastAsia="方正黑体_GBK" w:cs="方正黑体_GBK"/>
          <w:color w:val="auto"/>
          <w:sz w:val="32"/>
          <w:szCs w:val="32"/>
          <w:lang w:val="en-US" w:eastAsia="zh-CN"/>
        </w:rPr>
        <w:t>四、保障措施</w:t>
      </w:r>
    </w:p>
    <w:p w14:paraId="62111773">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hint="default" w:ascii="Times New Roman" w:hAnsi="Times New Roman" w:eastAsia="方正仿宋_GBK" w:cs="Times New Roman"/>
          <w:lang w:eastAsia="zh-CN"/>
        </w:rPr>
      </w:pPr>
      <w:r>
        <w:rPr>
          <w:rFonts w:hint="default" w:ascii="Times New Roman" w:hAnsi="Times New Roman" w:eastAsia="方正仿宋_GBK" w:cs="Times New Roman"/>
          <w:color w:val="auto"/>
          <w:sz w:val="32"/>
          <w:szCs w:val="32"/>
          <w:lang w:val="en-US" w:eastAsia="zh-CN"/>
        </w:rPr>
        <w:t>建立推进</w:t>
      </w:r>
      <w:r>
        <w:rPr>
          <w:rFonts w:hint="default" w:ascii="Times New Roman" w:hAnsi="Times New Roman" w:eastAsia="方正仿宋_GBK" w:cs="Times New Roman"/>
          <w:color w:val="auto"/>
          <w:sz w:val="32"/>
          <w:szCs w:val="32"/>
        </w:rPr>
        <w:t>新型</w:t>
      </w:r>
      <w:r>
        <w:rPr>
          <w:rFonts w:hint="default" w:ascii="Times New Roman" w:hAnsi="Times New Roman" w:eastAsia="方正仿宋_GBK" w:cs="Times New Roman"/>
          <w:color w:val="auto"/>
          <w:sz w:val="32"/>
          <w:szCs w:val="32"/>
          <w:lang w:eastAsia="zh-CN"/>
        </w:rPr>
        <w:t>技术改造</w:t>
      </w:r>
      <w:r>
        <w:rPr>
          <w:rFonts w:hint="default" w:ascii="Times New Roman" w:hAnsi="Times New Roman" w:eastAsia="方正仿宋_GBK" w:cs="Times New Roman"/>
          <w:color w:val="auto"/>
          <w:sz w:val="32"/>
          <w:szCs w:val="32"/>
        </w:rPr>
        <w:t>工作统筹协调</w:t>
      </w:r>
      <w:r>
        <w:rPr>
          <w:rFonts w:hint="default" w:ascii="Times New Roman" w:hAnsi="Times New Roman" w:eastAsia="方正仿宋_GBK" w:cs="Times New Roman"/>
          <w:color w:val="auto"/>
          <w:sz w:val="32"/>
          <w:szCs w:val="32"/>
          <w:lang w:eastAsia="zh-CN"/>
        </w:rPr>
        <w:t>机制</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lang w:eastAsia="zh-CN"/>
        </w:rPr>
        <w:t>推动</w:t>
      </w:r>
      <w:r>
        <w:rPr>
          <w:rFonts w:hint="default" w:ascii="Times New Roman" w:hAnsi="Times New Roman" w:eastAsia="方正仿宋_GBK" w:cs="Times New Roman"/>
          <w:color w:val="auto"/>
          <w:sz w:val="32"/>
          <w:szCs w:val="32"/>
        </w:rPr>
        <w:t>重点任务落实。各县（区）、园区要建立相应工作机制，因地制宜研究制定落实举措，抓好</w:t>
      </w:r>
      <w:r>
        <w:rPr>
          <w:rFonts w:hint="default" w:ascii="Times New Roman" w:hAnsi="Times New Roman" w:eastAsia="方正仿宋_GBK" w:cs="Times New Roman"/>
          <w:color w:val="auto"/>
          <w:sz w:val="32"/>
          <w:szCs w:val="32"/>
          <w:lang w:eastAsia="zh-CN"/>
        </w:rPr>
        <w:t>工作任务落实</w:t>
      </w:r>
      <w:r>
        <w:rPr>
          <w:rFonts w:hint="default" w:ascii="Times New Roman" w:hAnsi="Times New Roman" w:eastAsia="方正仿宋_GBK" w:cs="Times New Roman"/>
          <w:color w:val="auto"/>
          <w:sz w:val="32"/>
          <w:szCs w:val="32"/>
        </w:rPr>
        <w:t>，形成</w:t>
      </w:r>
      <w:r>
        <w:rPr>
          <w:rFonts w:hint="default" w:ascii="Times New Roman" w:hAnsi="Times New Roman" w:eastAsia="方正仿宋_GBK" w:cs="Times New Roman"/>
          <w:color w:val="auto"/>
          <w:sz w:val="32"/>
          <w:szCs w:val="32"/>
          <w:lang w:eastAsia="zh-CN"/>
        </w:rPr>
        <w:t>工作</w:t>
      </w:r>
      <w:r>
        <w:rPr>
          <w:rFonts w:hint="default" w:ascii="Times New Roman" w:hAnsi="Times New Roman" w:eastAsia="方正仿宋_GBK" w:cs="Times New Roman"/>
          <w:color w:val="auto"/>
          <w:sz w:val="32"/>
          <w:szCs w:val="32"/>
        </w:rPr>
        <w:t>合力</w:t>
      </w:r>
      <w:r>
        <w:rPr>
          <w:rFonts w:hint="default" w:ascii="Times New Roman" w:hAnsi="Times New Roman" w:eastAsia="方正仿宋_GBK" w:cs="Times New Roman"/>
          <w:color w:val="auto"/>
          <w:sz w:val="32"/>
          <w:szCs w:val="32"/>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F6A21">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5D3E923">
                          <w:pPr>
                            <w:pStyle w:val="4"/>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v:fill on="f" focussize="0,0"/>
              <v:stroke on="f"/>
              <v:imagedata o:title=""/>
              <o:lock v:ext="edit" aspectratio="f"/>
              <v:textbox inset="0mm,0mm,0mm,0mm" style="mso-fit-shape-to-text:t;">
                <w:txbxContent>
                  <w:p w14:paraId="75D3E923">
                    <w:pPr>
                      <w:pStyle w:val="4"/>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D43B9C"/>
    <w:rsid w:val="46FD28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next w:val="3"/>
    <w:qFormat/>
    <w:uiPriority w:val="99"/>
    <w:pPr>
      <w:spacing w:before="120" w:line="360" w:lineRule="auto"/>
      <w:ind w:firstLine="454"/>
    </w:pPr>
    <w:rPr>
      <w:rFonts w:ascii="Times New Roman" w:eastAsia="宋体" w:cs="Times New Roman"/>
      <w:kern w:val="0"/>
      <w:sz w:val="24"/>
      <w:szCs w:val="24"/>
      <w:lang w:val="zh-CN"/>
    </w:rPr>
  </w:style>
  <w:style w:type="paragraph" w:styleId="3">
    <w:name w:val="Normal Indent"/>
    <w:basedOn w:val="1"/>
    <w:next w:val="1"/>
    <w:qFormat/>
    <w:uiPriority w:val="0"/>
    <w:pPr>
      <w:ind w:firstLine="200" w:firstLineChars="200"/>
    </w:pPr>
    <w:rPr>
      <w:rFonts w:ascii="Times New Roman" w:hAnsi="Times New Roman" w:eastAsia="宋体" w:cs="Times New Roman"/>
      <w:sz w:val="21"/>
      <w:szCs w:val="24"/>
    </w:rPr>
  </w:style>
  <w:style w:type="paragraph" w:styleId="4">
    <w:name w:val="footer"/>
    <w:basedOn w:val="1"/>
    <w:next w:val="2"/>
    <w:qFormat/>
    <w:uiPriority w:val="0"/>
    <w:pPr>
      <w:tabs>
        <w:tab w:val="center" w:pos="4153"/>
        <w:tab w:val="right" w:pos="8306"/>
      </w:tabs>
      <w:snapToGrid w:val="0"/>
      <w:jc w:val="left"/>
    </w:pPr>
    <w:rPr>
      <w:sz w:val="18"/>
      <w:szCs w:val="18"/>
    </w:rPr>
  </w:style>
  <w:style w:type="paragraph" w:customStyle="1" w:styleId="7">
    <w:name w:val="_Style 2"/>
    <w:qFormat/>
    <w:uiPriority w:val="0"/>
    <w:pPr>
      <w:widowControl w:val="0"/>
      <w:spacing w:line="351" w:lineRule="atLeast"/>
      <w:ind w:firstLine="623"/>
      <w:jc w:val="both"/>
      <w:textAlignment w:val="baseline"/>
    </w:pPr>
    <w:rPr>
      <w:rFonts w:ascii="Times New Roman" w:hAnsi="Times New Roman" w:eastAsia="仿宋_GB2312" w:cs="Times New Roman"/>
      <w:color w:val="000000"/>
      <w:kern w:val="2"/>
      <w:sz w:val="31"/>
      <w:szCs w:val="3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404</Words>
  <Characters>416</Characters>
  <Lines>0</Lines>
  <Paragraphs>0</Paragraphs>
  <TotalTime>5</TotalTime>
  <ScaleCrop>false</ScaleCrop>
  <LinksUpToDate>false</LinksUpToDate>
  <CharactersWithSpaces>416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2025-12-15T00:34:00Z</dcterms:created>
  <dc:creator>admin</dc:creator>
  <cp:lastModifiedBy>周媛</cp:lastModifiedBy>
  <dcterms:modified xsi:type="dcterms:W3CDTF">2025-12-25T07:45:21Z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eyJoZGlkIjoiZmE4ZTM1OTBkNDc4NTI4NzI2NDc5OGJiM2E2NzM3ZTEiLCJ1c2VySWQiOiI0MTMzNDYyMzIifQ==</vt:lpwstr>
  </property>
  <property fmtid="{D5CDD505-2E9C-101B-9397-08002B2CF9AE}" pid="4" name="ICV">
    <vt:lpwstr>39CAD1A804B84D4E812987B4012C978B_12</vt:lpwstr>
  </property>
</Properties>
</file>