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C6FA41">
      <w:pPr>
        <w:keepNext w:val="0"/>
        <w:keepLines w:val="0"/>
        <w:pageBreakBefore w:val="0"/>
        <w:widowControl w:val="0"/>
        <w:kinsoku/>
        <w:wordWrap/>
        <w:overflowPunct/>
        <w:topLinePunct w:val="0"/>
        <w:autoSpaceDE/>
        <w:autoSpaceDN/>
        <w:bidi w:val="0"/>
        <w:adjustRightInd/>
        <w:snapToGrid/>
        <w:spacing w:before="313" w:beforeLines="100" w:line="600" w:lineRule="exact"/>
        <w:jc w:val="center"/>
        <w:textAlignment w:val="auto"/>
        <w:outlineLvl w:val="9"/>
        <w:rPr>
          <w:rFonts w:hint="eastAsia" w:ascii="方正小标宋简体" w:hAnsi="方正小标宋简体" w:eastAsia="方正小标宋简体" w:cs="方正小标宋简体"/>
          <w:i w:val="0"/>
          <w:iCs w:val="0"/>
          <w:caps w:val="0"/>
          <w:color w:val="auto"/>
          <w:spacing w:val="0"/>
          <w:sz w:val="44"/>
          <w:szCs w:val="44"/>
          <w:shd w:val="clear" w:fill="FFFFFF"/>
        </w:rPr>
      </w:pPr>
      <w:bookmarkStart w:id="0" w:name="OLE_LINK84"/>
      <w:r>
        <w:rPr>
          <w:rFonts w:hint="eastAsia" w:ascii="方正小标宋简体" w:hAnsi="方正小标宋简体" w:eastAsia="方正小标宋简体" w:cs="方正小标宋简体"/>
          <w:i w:val="0"/>
          <w:iCs w:val="0"/>
          <w:caps w:val="0"/>
          <w:color w:val="auto"/>
          <w:spacing w:val="0"/>
          <w:sz w:val="44"/>
          <w:szCs w:val="44"/>
          <w:shd w:val="clear" w:fill="FFFFFF"/>
          <w:lang w:val="en-US" w:eastAsia="zh-CN"/>
        </w:rPr>
        <w:t>池州市</w:t>
      </w:r>
      <w:r>
        <w:rPr>
          <w:rFonts w:hint="eastAsia" w:ascii="方正小标宋简体" w:hAnsi="方正小标宋简体" w:eastAsia="方正小标宋简体" w:cs="方正小标宋简体"/>
          <w:i w:val="0"/>
          <w:iCs w:val="0"/>
          <w:caps w:val="0"/>
          <w:color w:val="auto"/>
          <w:spacing w:val="0"/>
          <w:sz w:val="44"/>
          <w:szCs w:val="44"/>
          <w:shd w:val="clear" w:fill="FFFFFF"/>
          <w:lang w:eastAsia="zh-CN"/>
        </w:rPr>
        <w:t>关于</w:t>
      </w:r>
      <w:r>
        <w:rPr>
          <w:rFonts w:hint="eastAsia" w:ascii="方正小标宋简体" w:hAnsi="方正小标宋简体" w:eastAsia="方正小标宋简体" w:cs="方正小标宋简体"/>
          <w:i w:val="0"/>
          <w:iCs w:val="0"/>
          <w:caps w:val="0"/>
          <w:color w:val="auto"/>
          <w:spacing w:val="0"/>
          <w:sz w:val="44"/>
          <w:szCs w:val="44"/>
          <w:shd w:val="clear" w:fill="FFFFFF"/>
        </w:rPr>
        <w:t>第三轮省生态环境保护督察反馈</w:t>
      </w:r>
    </w:p>
    <w:p w14:paraId="5E3502AF">
      <w:pPr>
        <w:keepNext w:val="0"/>
        <w:keepLines w:val="0"/>
        <w:pageBreakBefore w:val="0"/>
        <w:widowControl w:val="0"/>
        <w:kinsoku/>
        <w:wordWrap/>
        <w:overflowPunct/>
        <w:topLinePunct w:val="0"/>
        <w:autoSpaceDE/>
        <w:autoSpaceDN/>
        <w:bidi w:val="0"/>
        <w:adjustRightInd/>
        <w:snapToGrid/>
        <w:spacing w:before="313" w:beforeLines="100" w:line="600" w:lineRule="exact"/>
        <w:jc w:val="center"/>
        <w:textAlignment w:val="auto"/>
        <w:outlineLvl w:val="9"/>
        <w:rPr>
          <w:rFonts w:hint="eastAsia" w:ascii="方正小标宋简体" w:hAnsi="方正小标宋简体" w:eastAsia="方正小标宋简体" w:cs="方正小标宋简体"/>
          <w:i w:val="0"/>
          <w:iCs w:val="0"/>
          <w:caps w:val="0"/>
          <w:color w:val="auto"/>
          <w:spacing w:val="0"/>
          <w:sz w:val="44"/>
          <w:szCs w:val="44"/>
          <w:shd w:val="clear" w:fill="FFFFFF"/>
          <w:lang w:eastAsia="zh-CN"/>
        </w:rPr>
      </w:pPr>
      <w:r>
        <w:rPr>
          <w:rFonts w:hint="eastAsia" w:ascii="方正小标宋简体" w:hAnsi="方正小标宋简体" w:eastAsia="方正小标宋简体" w:cs="方正小标宋简体"/>
          <w:i w:val="0"/>
          <w:iCs w:val="0"/>
          <w:caps w:val="0"/>
          <w:color w:val="auto"/>
          <w:spacing w:val="0"/>
          <w:sz w:val="44"/>
          <w:szCs w:val="44"/>
          <w:shd w:val="clear" w:fill="FFFFFF"/>
        </w:rPr>
        <w:t>问题整改情况</w:t>
      </w:r>
      <w:r>
        <w:rPr>
          <w:rFonts w:hint="eastAsia" w:ascii="方正小标宋简体" w:hAnsi="方正小标宋简体" w:eastAsia="方正小标宋简体" w:cs="方正小标宋简体"/>
          <w:i w:val="0"/>
          <w:iCs w:val="0"/>
          <w:caps w:val="0"/>
          <w:color w:val="auto"/>
          <w:spacing w:val="0"/>
          <w:sz w:val="44"/>
          <w:szCs w:val="44"/>
          <w:shd w:val="clear" w:fill="FFFFFF"/>
          <w:lang w:eastAsia="zh-CN"/>
        </w:rPr>
        <w:t>的报告</w:t>
      </w:r>
    </w:p>
    <w:bookmarkEnd w:id="0"/>
    <w:p w14:paraId="5A2A37FC">
      <w:pPr>
        <w:keepNext w:val="0"/>
        <w:keepLines w:val="0"/>
        <w:pageBreakBefore w:val="0"/>
        <w:kinsoku/>
        <w:wordWrap/>
        <w:topLinePunct w:val="0"/>
        <w:autoSpaceDE/>
        <w:autoSpaceDN/>
        <w:bidi w:val="0"/>
        <w:adjustRightInd/>
        <w:spacing w:line="580" w:lineRule="exact"/>
        <w:ind w:firstLine="0" w:firstLineChars="0"/>
        <w:rPr>
          <w:rFonts w:hint="eastAsia" w:ascii="仿宋_GB2312" w:hAnsi="仿宋_GB2312" w:eastAsia="仿宋_GB2312" w:cs="仿宋_GB2312"/>
          <w:snapToGrid w:val="0"/>
          <w:color w:val="auto"/>
          <w:kern w:val="2"/>
          <w:sz w:val="32"/>
          <w:szCs w:val="32"/>
          <w:lang w:val="en-US" w:eastAsia="zh-CN" w:bidi="ar-SA"/>
        </w:rPr>
      </w:pPr>
      <w:r>
        <w:rPr>
          <w:rFonts w:hint="eastAsia" w:ascii="仿宋_GB2312" w:hAnsi="仿宋_GB2312" w:eastAsia="仿宋_GB2312" w:cs="仿宋_GB2312"/>
          <w:snapToGrid w:val="0"/>
          <w:color w:val="auto"/>
          <w:kern w:val="2"/>
          <w:sz w:val="32"/>
          <w:szCs w:val="32"/>
          <w:lang w:val="en-US" w:eastAsia="zh-CN" w:bidi="ar-SA"/>
        </w:rPr>
        <w:t xml:space="preserve"> </w:t>
      </w:r>
    </w:p>
    <w:p w14:paraId="13D538DA">
      <w:pPr>
        <w:keepNext w:val="0"/>
        <w:keepLines w:val="0"/>
        <w:pageBreakBefore w:val="0"/>
        <w:widowControl w:val="0"/>
        <w:kinsoku/>
        <w:wordWrap/>
        <w:overflowPunct w:val="0"/>
        <w:topLinePunct w:val="0"/>
        <w:autoSpaceDE/>
        <w:autoSpaceDN/>
        <w:bidi w:val="0"/>
        <w:spacing w:line="560" w:lineRule="exact"/>
        <w:ind w:firstLine="640" w:firstLineChars="200"/>
        <w:jc w:val="both"/>
        <w:textAlignment w:val="auto"/>
        <w:rPr>
          <w:rFonts w:hint="eastAsia" w:ascii="仿宋_GB2312" w:hAnsi="仿宋_GB2312" w:eastAsia="仿宋_GB2312" w:cs="仿宋_GB2312"/>
          <w:snapToGrid w:val="0"/>
          <w:color w:val="auto"/>
          <w:kern w:val="2"/>
          <w:sz w:val="32"/>
          <w:szCs w:val="32"/>
          <w:lang w:val="en-US" w:eastAsia="zh-CN" w:bidi="ar-SA"/>
        </w:rPr>
      </w:pPr>
      <w:r>
        <w:rPr>
          <w:rFonts w:hint="eastAsia" w:ascii="仿宋_GB2312" w:hAnsi="仿宋_GB2312" w:eastAsia="仿宋_GB2312" w:cs="仿宋_GB2312"/>
          <w:snapToGrid w:val="0"/>
          <w:color w:val="auto"/>
          <w:kern w:val="2"/>
          <w:sz w:val="32"/>
          <w:szCs w:val="32"/>
          <w:lang w:val="en-US" w:eastAsia="zh-CN" w:bidi="ar-SA"/>
        </w:rPr>
        <w:t>2024年5月30日至6月7日、6月11日至7月1日，安徽省第一生态环境保护督察组对池州市开展了第三轮省生态环境保护督察，于2024年10月10日反馈了督察报告并移交了责任追究问题清单。现将整改情况报告如下。</w:t>
      </w:r>
    </w:p>
    <w:p w14:paraId="55F47787">
      <w:pPr>
        <w:keepNext w:val="0"/>
        <w:keepLines w:val="0"/>
        <w:pageBreakBefore w:val="0"/>
        <w:widowControl w:val="0"/>
        <w:kinsoku/>
        <w:wordWrap/>
        <w:overflowPunct w:val="0"/>
        <w:topLinePunct w:val="0"/>
        <w:autoSpaceDE/>
        <w:autoSpaceDN/>
        <w:bidi w:val="0"/>
        <w:adjustRightInd w:val="0"/>
        <w:snapToGrid w:val="0"/>
        <w:spacing w:line="560" w:lineRule="exact"/>
        <w:ind w:firstLine="640" w:firstLineChars="200"/>
        <w:jc w:val="both"/>
        <w:textAlignment w:val="auto"/>
        <w:rPr>
          <w:rFonts w:eastAsia="黑体"/>
          <w:color w:val="000000"/>
          <w:sz w:val="32"/>
          <w:szCs w:val="32"/>
        </w:rPr>
      </w:pPr>
      <w:r>
        <w:rPr>
          <w:rFonts w:eastAsia="黑体"/>
          <w:color w:val="000000"/>
          <w:sz w:val="32"/>
          <w:szCs w:val="32"/>
        </w:rPr>
        <w:t>一、总体情况</w:t>
      </w:r>
    </w:p>
    <w:p w14:paraId="4BEE2BC9">
      <w:pPr>
        <w:pStyle w:val="9"/>
        <w:keepNext w:val="0"/>
        <w:keepLines w:val="0"/>
        <w:pageBreakBefore w:val="0"/>
        <w:widowControl w:val="0"/>
        <w:kinsoku/>
        <w:wordWrap/>
        <w:overflowPunct w:val="0"/>
        <w:topLinePunct w:val="0"/>
        <w:autoSpaceDE/>
        <w:autoSpaceDN/>
        <w:bidi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2"/>
          <w:sz w:val="32"/>
          <w:szCs w:val="32"/>
          <w:lang w:val="en-US" w:eastAsia="zh-CN" w:bidi="ar-SA"/>
        </w:rPr>
      </w:pPr>
      <w:r>
        <w:rPr>
          <w:rFonts w:hint="eastAsia" w:ascii="仿宋_GB2312" w:hAnsi="仿宋_GB2312" w:eastAsia="仿宋_GB2312" w:cs="仿宋_GB2312"/>
          <w:snapToGrid w:val="0"/>
          <w:color w:val="auto"/>
          <w:kern w:val="2"/>
          <w:sz w:val="32"/>
          <w:szCs w:val="32"/>
          <w:lang w:val="en-US" w:eastAsia="zh-CN" w:bidi="ar-SA"/>
        </w:rPr>
        <w:t>我市坚持以习近平生态文明思想为指导，</w:t>
      </w:r>
      <w:r>
        <w:rPr>
          <w:rFonts w:hint="eastAsia" w:ascii="仿宋_GB2312" w:hAnsi="宋体" w:eastAsia="仿宋_GB2312" w:cs="仿宋_GB2312"/>
          <w:snapToGrid w:val="0"/>
          <w:color w:val="auto"/>
          <w:kern w:val="0"/>
          <w:sz w:val="32"/>
          <w:szCs w:val="32"/>
          <w:highlight w:val="none"/>
          <w:lang w:val="en-US" w:eastAsia="zh-CN"/>
        </w:rPr>
        <w:t>聚焦推动生态建设由外部约束向内生动力转变，把抓好省生态环境保护督察反馈问题整改</w:t>
      </w:r>
      <w:r>
        <w:rPr>
          <w:rFonts w:hint="eastAsia" w:ascii="仿宋_GB2312" w:hAnsi="仿宋_GB2312" w:eastAsia="仿宋_GB2312" w:cs="仿宋_GB2312"/>
          <w:snapToGrid w:val="0"/>
          <w:color w:val="auto"/>
          <w:kern w:val="2"/>
          <w:sz w:val="32"/>
          <w:szCs w:val="32"/>
          <w:lang w:val="en-US" w:eastAsia="zh-CN" w:bidi="ar-SA"/>
        </w:rPr>
        <w:t>作为重要的政治任务，坚决抓整改、全力抓排查、着力建机制，问题整改取得阶段性成效。</w:t>
      </w:r>
    </w:p>
    <w:p w14:paraId="6F94DDCD">
      <w:pPr>
        <w:pStyle w:val="9"/>
        <w:keepNext w:val="0"/>
        <w:keepLines w:val="0"/>
        <w:pageBreakBefore w:val="0"/>
        <w:widowControl w:val="0"/>
        <w:kinsoku/>
        <w:wordWrap/>
        <w:overflowPunct w:val="0"/>
        <w:topLinePunct w:val="0"/>
        <w:autoSpaceDE/>
        <w:autoSpaceDN/>
        <w:bidi w:val="0"/>
        <w:spacing w:beforeLines="0" w:afterLines="0" w:line="560" w:lineRule="exact"/>
        <w:ind w:left="0" w:leftChars="0" w:firstLine="640" w:firstLineChars="200"/>
        <w:jc w:val="both"/>
        <w:textAlignment w:val="auto"/>
        <w:rPr>
          <w:rFonts w:hint="eastAsia" w:ascii="仿宋_GB2312" w:hAnsi="宋体" w:eastAsia="仿宋_GB2312" w:cs="仿宋_GB2312"/>
          <w:snapToGrid w:val="0"/>
          <w:color w:val="auto"/>
          <w:kern w:val="0"/>
          <w:sz w:val="32"/>
          <w:szCs w:val="32"/>
          <w:lang w:val="en-US" w:eastAsia="zh-CN"/>
        </w:rPr>
      </w:pPr>
      <w:r>
        <w:rPr>
          <w:rFonts w:hint="eastAsia" w:ascii="仿宋_GB2312" w:hAnsi="仿宋_GB2312" w:eastAsia="仿宋_GB2312" w:cs="仿宋_GB2312"/>
          <w:snapToGrid w:val="0"/>
          <w:color w:val="auto"/>
          <w:kern w:val="2"/>
          <w:sz w:val="32"/>
          <w:szCs w:val="32"/>
          <w:lang w:val="en-US" w:eastAsia="zh-CN" w:bidi="ar-SA"/>
        </w:rPr>
        <w:t>截至2025年底，第三轮省生态环境保护督察反馈的问题正在有序推进整改；通报的2个典型案例问题整</w:t>
      </w:r>
      <w:r>
        <w:rPr>
          <w:rFonts w:hint="eastAsia" w:ascii="仿宋_GB2312" w:hAnsi="宋体" w:eastAsia="仿宋_GB2312" w:cs="仿宋_GB2312"/>
          <w:snapToGrid w:val="0"/>
          <w:color w:val="auto"/>
          <w:kern w:val="0"/>
          <w:sz w:val="32"/>
          <w:szCs w:val="32"/>
          <w:lang w:val="en-US" w:eastAsia="zh-CN"/>
        </w:rPr>
        <w:t>改取得明显进展，其中1个问题已基本完成整改，另1个问题正按序时推进；转办196件信访件已全部完成整改销号。</w:t>
      </w:r>
      <w:r>
        <w:rPr>
          <w:rFonts w:hint="eastAsia" w:ascii="仿宋_GB2312" w:hAnsi="仿宋_GB2312" w:eastAsia="仿宋_GB2312" w:cs="仿宋_GB2312"/>
          <w:snapToGrid w:val="0"/>
          <w:color w:val="000000"/>
          <w:kern w:val="0"/>
          <w:sz w:val="32"/>
          <w:szCs w:val="32"/>
          <w:lang w:val="en-US" w:eastAsia="zh-CN"/>
        </w:rPr>
        <w:t>对移交的2个责任追究问题和督察反馈问题开展了责任倒查</w:t>
      </w:r>
      <w:r>
        <w:rPr>
          <w:rFonts w:hint="eastAsia" w:ascii="仿宋_GB2312" w:hAnsi="仿宋_GB2312" w:eastAsia="仿宋_GB2312" w:cs="仿宋_GB2312"/>
          <w:snapToGrid w:val="0"/>
          <w:color w:val="000000"/>
          <w:kern w:val="0"/>
          <w:sz w:val="32"/>
          <w:szCs w:val="32"/>
          <w:highlight w:val="none"/>
          <w:lang w:val="en-US" w:eastAsia="zh-CN"/>
        </w:rPr>
        <w:t>（</w:t>
      </w:r>
      <w:r>
        <w:rPr>
          <w:rFonts w:hint="eastAsia" w:ascii="仿宋_GB2312" w:hAnsi="仿宋_GB2312" w:eastAsia="仿宋_GB2312" w:cs="仿宋_GB2312"/>
          <w:color w:val="000000"/>
          <w:sz w:val="32"/>
          <w:szCs w:val="32"/>
          <w:highlight w:val="none"/>
        </w:rPr>
        <w:t>另外1个问题与第三轮中央生态环境保护督察移交责任追究问题重复，由省级层面直接办理</w:t>
      </w:r>
      <w:r>
        <w:rPr>
          <w:rFonts w:hint="eastAsia" w:ascii="仿宋_GB2312" w:hAnsi="仿宋_GB2312" w:eastAsia="仿宋_GB2312" w:cs="仿宋_GB2312"/>
          <w:snapToGrid w:val="0"/>
          <w:color w:val="000000"/>
          <w:kern w:val="0"/>
          <w:sz w:val="32"/>
          <w:szCs w:val="32"/>
          <w:highlight w:val="none"/>
          <w:lang w:val="en-US" w:eastAsia="zh-CN"/>
        </w:rPr>
        <w:t>）</w:t>
      </w:r>
      <w:r>
        <w:rPr>
          <w:rFonts w:hint="eastAsia" w:ascii="仿宋_GB2312" w:hAnsi="仿宋_GB2312" w:eastAsia="仿宋_GB2312" w:cs="仿宋_GB2312"/>
          <w:snapToGrid w:val="0"/>
          <w:color w:val="000000"/>
          <w:kern w:val="0"/>
          <w:sz w:val="32"/>
          <w:szCs w:val="32"/>
          <w:lang w:val="en-US" w:eastAsia="zh-CN"/>
        </w:rPr>
        <w:t>，共对9个责任单位（党组织）和23名责任人追责问责。</w:t>
      </w:r>
    </w:p>
    <w:p w14:paraId="017375FD">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left="0" w:leftChars="0" w:firstLine="640" w:firstLineChars="200"/>
        <w:jc w:val="both"/>
        <w:textAlignment w:val="auto"/>
        <w:rPr>
          <w:rFonts w:hint="eastAsia" w:ascii="黑体" w:hAnsi="黑体" w:eastAsia="黑体" w:cs="黑体"/>
          <w:color w:val="auto"/>
          <w:sz w:val="32"/>
          <w:szCs w:val="32"/>
          <w:lang w:val="en-US" w:eastAsia="zh-CN"/>
        </w:rPr>
      </w:pPr>
      <w:bookmarkStart w:id="1" w:name="OLE_LINK80"/>
      <w:r>
        <w:rPr>
          <w:rFonts w:hint="eastAsia" w:ascii="仿宋_GB2312" w:hAnsi="仿宋_GB2312" w:eastAsia="仿宋_GB2312" w:cs="仿宋_GB2312"/>
          <w:color w:val="000000"/>
          <w:kern w:val="2"/>
          <w:sz w:val="32"/>
          <w:szCs w:val="32"/>
          <w:lang w:val="en-US" w:eastAsia="zh-CN" w:bidi="ar-SA"/>
        </w:rPr>
        <w:t>通过督察推动和全市上下共同努力，生态环境治理水平显著提高，生</w:t>
      </w:r>
      <w:r>
        <w:rPr>
          <w:rFonts w:hint="eastAsia" w:ascii="仿宋_GB2312" w:hAnsi="仿宋_GB2312" w:eastAsia="仿宋_GB2312" w:cs="仿宋_GB2312"/>
          <w:color w:val="000000"/>
          <w:sz w:val="32"/>
          <w:szCs w:val="32"/>
          <w:lang w:val="en-US" w:eastAsia="zh-CN"/>
        </w:rPr>
        <w:t>态环境质量持续改善，经济社会发展全面绿色转型取得积极成效。2022-2024年，我市污染防治攻坚战成效考核连续三年被省委、省政府评定为“优秀”等次。截至2025年底，</w:t>
      </w:r>
      <w:r>
        <w:rPr>
          <w:rFonts w:hint="eastAsia" w:ascii="仿宋_GB2312" w:hAnsi="仿宋_GB2312" w:eastAsia="仿宋_GB2312" w:cs="仿宋_GB2312"/>
          <w:b w:val="0"/>
          <w:bCs w:val="0"/>
          <w:color w:val="000000"/>
          <w:kern w:val="2"/>
          <w:sz w:val="32"/>
          <w:szCs w:val="32"/>
          <w:highlight w:val="none"/>
          <w:lang w:val="en-US" w:eastAsia="zh-CN" w:bidi="ar-SA"/>
        </w:rPr>
        <w:t>全市PM</w:t>
      </w:r>
      <w:r>
        <w:rPr>
          <w:rFonts w:hint="eastAsia" w:ascii="仿宋_GB2312" w:hAnsi="仿宋_GB2312" w:eastAsia="仿宋_GB2312" w:cs="仿宋_GB2312"/>
          <w:b w:val="0"/>
          <w:bCs w:val="0"/>
          <w:color w:val="000000"/>
          <w:kern w:val="2"/>
          <w:sz w:val="32"/>
          <w:szCs w:val="32"/>
          <w:highlight w:val="none"/>
          <w:vertAlign w:val="subscript"/>
          <w:lang w:val="en-US" w:eastAsia="zh-CN" w:bidi="ar-SA"/>
        </w:rPr>
        <w:t>2.5</w:t>
      </w:r>
      <w:r>
        <w:rPr>
          <w:rFonts w:hint="eastAsia" w:ascii="仿宋_GB2312" w:hAnsi="仿宋_GB2312" w:eastAsia="仿宋_GB2312" w:cs="仿宋_GB2312"/>
          <w:b w:val="0"/>
          <w:bCs w:val="0"/>
          <w:color w:val="000000"/>
          <w:kern w:val="2"/>
          <w:sz w:val="32"/>
          <w:szCs w:val="32"/>
          <w:highlight w:val="none"/>
          <w:lang w:val="en-US" w:eastAsia="zh-CN" w:bidi="ar-SA"/>
        </w:rPr>
        <w:t>浓度31.5微克/立方米，较2020年下降8.4%；扣除沙尘影响后空气优良比例89.6%，较2020年提高0.6个百分点。长江干流水质稳定达到地表水Ⅱ类；县级以上饮用水水源地水质达标率连续多年保持100%。</w:t>
      </w:r>
      <w:bookmarkEnd w:id="1"/>
    </w:p>
    <w:p w14:paraId="57E693CF">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left="0" w:leftChars="0" w:firstLine="640" w:firstLineChars="200"/>
        <w:jc w:val="both"/>
        <w:textAlignment w:val="auto"/>
        <w:rPr>
          <w:rFonts w:hint="default"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二、主要工作</w:t>
      </w:r>
    </w:p>
    <w:p w14:paraId="238F30E9">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仿宋_GB2312"/>
          <w:snapToGrid w:val="0"/>
          <w:color w:val="auto"/>
          <w:kern w:val="0"/>
          <w:sz w:val="32"/>
          <w:szCs w:val="32"/>
          <w:lang w:val="en-US" w:eastAsia="zh-CN"/>
        </w:rPr>
      </w:pPr>
      <w:r>
        <w:rPr>
          <w:rFonts w:hint="eastAsia" w:ascii="楷体" w:hAnsi="楷体" w:eastAsia="楷体_GB2312" w:cs="楷体"/>
          <w:b w:val="0"/>
          <w:bCs w:val="0"/>
          <w:color w:val="auto"/>
          <w:sz w:val="32"/>
          <w:szCs w:val="32"/>
          <w:highlight w:val="none"/>
          <w:lang w:val="en-US" w:eastAsia="zh-CN"/>
        </w:rPr>
        <w:t>（一）坚持高位推动，坚决扛起督察整改政治责任。</w:t>
      </w:r>
      <w:r>
        <w:rPr>
          <w:rFonts w:hint="eastAsia" w:ascii="仿宋_GB2312" w:hAnsi="宋体" w:eastAsia="仿宋_GB2312" w:cs="仿宋_GB2312"/>
          <w:snapToGrid w:val="0"/>
          <w:color w:val="auto"/>
          <w:kern w:val="0"/>
          <w:sz w:val="32"/>
          <w:szCs w:val="32"/>
          <w:lang w:val="en-US" w:eastAsia="zh-CN"/>
        </w:rPr>
        <w:t>深入学习贯彻习近平生态文明思想，全面落实党中央、国务院关于生态文明建设和生态环境保护的决策部署及省委、省政府工作要求，</w:t>
      </w:r>
      <w:r>
        <w:rPr>
          <w:rFonts w:hint="eastAsia" w:ascii="仿宋_GB2312" w:hAnsi="仿宋_GB2312" w:eastAsia="仿宋_GB2312" w:cs="仿宋_GB2312"/>
          <w:snapToGrid w:val="0"/>
          <w:color w:val="auto"/>
          <w:kern w:val="2"/>
          <w:sz w:val="32"/>
          <w:szCs w:val="32"/>
          <w:lang w:val="en-US" w:eastAsia="zh-CN" w:bidi="ar-SA"/>
        </w:rPr>
        <w:t>针对省生态环境保护督察反馈问题，及时制定整改方案，逐一明确整改问题、任务、标准、责任。2024年6月</w:t>
      </w:r>
      <w:r>
        <w:rPr>
          <w:rFonts w:hint="eastAsia" w:ascii="仿宋_GB2312" w:hAnsi="宋体" w:eastAsia="仿宋_GB2312" w:cs="仿宋_GB2312"/>
          <w:snapToGrid w:val="0"/>
          <w:color w:val="auto"/>
          <w:kern w:val="0"/>
          <w:sz w:val="32"/>
          <w:szCs w:val="32"/>
          <w:lang w:val="en-US" w:eastAsia="zh-CN"/>
        </w:rPr>
        <w:t>份以来，市委、市政府通过市委常委会会议、市政府常务会、市长办公会、市政府专题调度会先后研究生态环保工作43次；</w:t>
      </w:r>
      <w:r>
        <w:rPr>
          <w:rFonts w:hint="eastAsia" w:ascii="仿宋_GB2312" w:hAnsi="仿宋_GB2312" w:eastAsia="仿宋_GB2312" w:cs="仿宋_GB2312"/>
          <w:snapToGrid w:val="0"/>
          <w:color w:val="000000"/>
          <w:kern w:val="2"/>
          <w:sz w:val="32"/>
          <w:szCs w:val="32"/>
          <w:lang w:val="en-US" w:eastAsia="zh-CN" w:bidi="ar-SA"/>
        </w:rPr>
        <w:t>市委、市政府主要负责同志切实履行督察整改第一责任人职责，常态化下沉一线开展实地调研督导，督促问题整改。全市建立了“市委、市政府负总责，市环委办统筹推动，地方各级党委和政府及责任部门主体落实，行业主管部门严格督导验收”的整改责任体系，推动形成了各负其责、密切配合的督察整改工作合力。</w:t>
      </w:r>
    </w:p>
    <w:p w14:paraId="4B2146BD">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firstLine="640" w:firstLineChars="200"/>
        <w:jc w:val="both"/>
        <w:textAlignment w:val="auto"/>
        <w:rPr>
          <w:rFonts w:hint="eastAsia"/>
          <w:lang w:val="en-US" w:eastAsia="zh-CN"/>
        </w:rPr>
      </w:pPr>
      <w:r>
        <w:rPr>
          <w:rFonts w:hint="eastAsia" w:ascii="楷体" w:hAnsi="楷体" w:eastAsia="楷体_GB2312" w:cs="楷体"/>
          <w:b w:val="0"/>
          <w:bCs w:val="0"/>
          <w:color w:val="auto"/>
          <w:sz w:val="32"/>
          <w:szCs w:val="32"/>
          <w:highlight w:val="none"/>
          <w:lang w:val="en-US" w:eastAsia="zh-CN"/>
        </w:rPr>
        <w:t>（二）聚焦污染防治，推进生态环境质量稳定改善。</w:t>
      </w:r>
      <w:bookmarkStart w:id="2" w:name="OLE_LINK78"/>
      <w:r>
        <w:rPr>
          <w:rFonts w:hint="eastAsia" w:ascii="仿宋_GB2312" w:hAnsi="仿宋_GB2312" w:eastAsia="仿宋_GB2312" w:cs="仿宋_GB2312"/>
          <w:b w:val="0"/>
          <w:bCs w:val="0"/>
          <w:snapToGrid w:val="0"/>
          <w:color w:val="000000"/>
          <w:kern w:val="0"/>
          <w:sz w:val="32"/>
          <w:szCs w:val="32"/>
          <w:highlight w:val="none"/>
          <w:lang w:val="en-US" w:eastAsia="zh-CN"/>
        </w:rPr>
        <w:t>一是</w:t>
      </w:r>
      <w:r>
        <w:rPr>
          <w:rFonts w:hint="eastAsia" w:ascii="仿宋_GB2312" w:hAnsi="仿宋_GB2312" w:eastAsia="仿宋_GB2312" w:cs="仿宋_GB2312"/>
          <w:b w:val="0"/>
          <w:bCs w:val="0"/>
          <w:snapToGrid w:val="0"/>
          <w:color w:val="000000"/>
          <w:kern w:val="0"/>
          <w:sz w:val="32"/>
          <w:szCs w:val="32"/>
          <w:lang w:val="en-US" w:eastAsia="zh-CN" w:bidi="ar-SA"/>
        </w:rPr>
        <w:t>持续深入打好蓝天保卫战。推进涉气工业企业污染专项治理，推动贵航特钢、贵航金属、海螺水泥超低排放改造。</w:t>
      </w:r>
      <w:r>
        <w:rPr>
          <w:rFonts w:hint="eastAsia" w:ascii="仿宋_GB2312" w:hAnsi="仿宋_GB2312" w:eastAsia="仿宋_GB2312" w:cs="仿宋_GB2312"/>
          <w:snapToGrid w:val="0"/>
          <w:color w:val="000000"/>
          <w:kern w:val="0"/>
          <w:sz w:val="32"/>
          <w:szCs w:val="32"/>
          <w:u w:val="none"/>
          <w:lang w:val="en-US" w:eastAsia="zh-CN" w:bidi="ar-SA"/>
        </w:rPr>
        <w:t>全面淘汰85台老旧柴油车辆和187台非道路移动机械，推动23家重点企业建立门禁及视频监控系统。</w:t>
      </w:r>
      <w:r>
        <w:rPr>
          <w:rFonts w:hint="eastAsia" w:ascii="仿宋_GB2312" w:hAnsi="仿宋_GB2312" w:eastAsia="仿宋_GB2312" w:cs="仿宋_GB2312"/>
          <w:b w:val="0"/>
          <w:bCs w:val="0"/>
          <w:snapToGrid w:val="0"/>
          <w:color w:val="000000"/>
          <w:kern w:val="0"/>
          <w:sz w:val="32"/>
          <w:szCs w:val="32"/>
          <w:lang w:val="en-US" w:eastAsia="zh-CN" w:bidi="ar-SA"/>
        </w:rPr>
        <w:t>以国家监测总站来池开展诊断帮扶为契机，举一反三开展涉企生态环境风险“综合一查清”体检式帮扶</w:t>
      </w:r>
      <w:r>
        <w:rPr>
          <w:rFonts w:hint="eastAsia" w:ascii="Times New Roman" w:hAnsi="Times New Roman" w:eastAsia="仿宋_GB2312" w:cs="仿宋_GB2312"/>
          <w:i w:val="0"/>
          <w:iCs w:val="0"/>
          <w:caps w:val="0"/>
          <w:color w:val="000000"/>
          <w:spacing w:val="0"/>
          <w:sz w:val="32"/>
          <w:szCs w:val="32"/>
          <w:lang w:val="en-US" w:eastAsia="zh-CN"/>
        </w:rPr>
        <w:t>。</w:t>
      </w:r>
      <w:r>
        <w:rPr>
          <w:rFonts w:hint="eastAsia" w:ascii="仿宋_GB2312" w:hAnsi="宋体" w:eastAsia="仿宋_GB2312" w:cs="仿宋_GB2312"/>
          <w:b w:val="0"/>
          <w:bCs w:val="0"/>
          <w:snapToGrid w:val="0"/>
          <w:color w:val="auto"/>
          <w:kern w:val="0"/>
          <w:sz w:val="32"/>
          <w:szCs w:val="32"/>
          <w:lang w:val="en-US" w:eastAsia="zh-CN" w:bidi="ar-SA"/>
        </w:rPr>
        <w:t>二是持续深入打好碧水保卫战，坚持定期分析调度国省控断面水质自动站数据，对连续超标断面进行溯源整治，确保国省控断面水质稳定达标。加强入河排污口规范管理，梳理长江干流及一二级重要支流排口</w:t>
      </w:r>
      <w:r>
        <w:rPr>
          <w:rFonts w:hint="eastAsia" w:ascii="仿宋_GB2312" w:hAnsi="仿宋_GB2312" w:eastAsia="仿宋_GB2312" w:cs="仿宋_GB2312"/>
          <w:b w:val="0"/>
          <w:bCs w:val="0"/>
          <w:snapToGrid w:val="0"/>
          <w:color w:val="000000"/>
          <w:kern w:val="0"/>
          <w:sz w:val="32"/>
          <w:szCs w:val="32"/>
          <w:lang w:val="en-US" w:eastAsia="zh-CN" w:bidi="ar-SA"/>
        </w:rPr>
        <w:t>1316</w:t>
      </w:r>
      <w:r>
        <w:rPr>
          <w:rFonts w:hint="eastAsia" w:ascii="仿宋_GB2312" w:hAnsi="宋体" w:eastAsia="仿宋_GB2312" w:cs="仿宋_GB2312"/>
          <w:b w:val="0"/>
          <w:bCs w:val="0"/>
          <w:snapToGrid w:val="0"/>
          <w:color w:val="auto"/>
          <w:kern w:val="0"/>
          <w:sz w:val="32"/>
          <w:szCs w:val="32"/>
          <w:lang w:val="en-US" w:eastAsia="zh-CN" w:bidi="ar-SA"/>
        </w:rPr>
        <w:t>个，</w:t>
      </w:r>
      <w:r>
        <w:rPr>
          <w:rFonts w:hint="eastAsia" w:ascii="仿宋_GB2312" w:hAnsi="仿宋_GB2312" w:eastAsia="仿宋_GB2312" w:cs="仿宋_GB2312"/>
          <w:color w:val="auto"/>
          <w:kern w:val="0"/>
          <w:sz w:val="32"/>
          <w:szCs w:val="32"/>
          <w:highlight w:val="none"/>
          <w:lang w:val="en-US" w:eastAsia="zh-CN" w:bidi="ar"/>
        </w:rPr>
        <w:t>明确排口详细信息并在全国入河排污口监督管理信息化平台进行动态更新</w:t>
      </w:r>
      <w:r>
        <w:rPr>
          <w:rFonts w:hint="eastAsia" w:ascii="仿宋_GB2312" w:hAnsi="宋体" w:eastAsia="仿宋_GB2312" w:cs="仿宋_GB2312"/>
          <w:b w:val="0"/>
          <w:bCs w:val="0"/>
          <w:snapToGrid w:val="0"/>
          <w:color w:val="auto"/>
          <w:kern w:val="0"/>
          <w:sz w:val="32"/>
          <w:szCs w:val="32"/>
          <w:lang w:val="en-US" w:eastAsia="zh-CN" w:bidi="ar-SA"/>
        </w:rPr>
        <w:t>；开展饮用水水源地环境问题排查整治，建立问题清单并立行立改，实现动态清零。三是持续深入打好净土保卫战，完成全市58家土壤重点监管单位周边土壤环境监测，摸清重点单位周边土壤和地下水环境质量现状；开展危险废物规范化管理，完成114家企业危险废物规范化环境管理评估。</w:t>
      </w:r>
      <w:bookmarkEnd w:id="2"/>
    </w:p>
    <w:p w14:paraId="173DD0E4">
      <w:pPr>
        <w:keepNext w:val="0"/>
        <w:keepLines w:val="0"/>
        <w:pageBreakBefore w:val="0"/>
        <w:widowControl w:val="0"/>
        <w:kinsoku/>
        <w:wordWrap/>
        <w:overflowPunct w:val="0"/>
        <w:topLinePunct w:val="0"/>
        <w:autoSpaceDE/>
        <w:autoSpaceDN/>
        <w:bidi w:val="0"/>
        <w:spacing w:line="560" w:lineRule="exact"/>
        <w:ind w:firstLine="640" w:firstLineChars="200"/>
        <w:jc w:val="both"/>
        <w:textAlignment w:val="auto"/>
        <w:outlineLvl w:val="9"/>
        <w:rPr>
          <w:rFonts w:hint="eastAsia" w:ascii="仿宋_GB2312" w:eastAsia="楷体_GB2312" w:hAnsiTheme="minorHAnsi" w:cstheme="minorBidi"/>
          <w:kern w:val="2"/>
          <w:sz w:val="32"/>
          <w:szCs w:val="32"/>
          <w:u w:val="none"/>
          <w:lang w:val="en-US" w:eastAsia="zh-CN" w:bidi="ar-SA"/>
        </w:rPr>
      </w:pPr>
      <w:r>
        <w:rPr>
          <w:rFonts w:hint="eastAsia" w:ascii="仿宋_GB2312" w:eastAsia="楷体_GB2312" w:hAnsiTheme="minorHAnsi" w:cstheme="minorBidi"/>
          <w:kern w:val="2"/>
          <w:sz w:val="32"/>
          <w:szCs w:val="32"/>
          <w:u w:val="none"/>
          <w:lang w:val="en-US" w:eastAsia="zh-CN" w:bidi="ar-SA"/>
        </w:rPr>
        <w:t>（三）深入排查问题，加快突出生态环境问题整改。</w:t>
      </w:r>
      <w:r>
        <w:rPr>
          <w:rFonts w:hint="eastAsia" w:ascii="仿宋_GB2312" w:hAnsi="宋体" w:eastAsia="仿宋_GB2312" w:cs="仿宋_GB2312"/>
          <w:snapToGrid w:val="0"/>
          <w:color w:val="auto"/>
          <w:kern w:val="0"/>
          <w:sz w:val="32"/>
          <w:szCs w:val="32"/>
          <w:highlight w:val="none"/>
          <w:lang w:val="en-US" w:eastAsia="zh-CN"/>
        </w:rPr>
        <w:t>建立突出生态环境问题主动发现机制，采取自己查、群众报、专业找等方式，部署开展突出生态环境问题</w:t>
      </w:r>
      <w:r>
        <w:rPr>
          <w:rFonts w:hint="eastAsia" w:ascii="仿宋_GB2312" w:eastAsia="仿宋_GB2312" w:cs="仿宋_GB2312"/>
          <w:snapToGrid w:val="0"/>
          <w:color w:val="auto"/>
          <w:kern w:val="0"/>
          <w:sz w:val="32"/>
          <w:szCs w:val="32"/>
          <w:highlight w:val="none"/>
          <w:lang w:val="en-US" w:eastAsia="zh-CN"/>
        </w:rPr>
        <w:t>大</w:t>
      </w:r>
      <w:r>
        <w:rPr>
          <w:rFonts w:hint="eastAsia" w:ascii="仿宋_GB2312" w:hAnsi="宋体" w:eastAsia="仿宋_GB2312" w:cs="仿宋_GB2312"/>
          <w:snapToGrid w:val="0"/>
          <w:color w:val="auto"/>
          <w:kern w:val="0"/>
          <w:sz w:val="32"/>
          <w:szCs w:val="32"/>
          <w:highlight w:val="none"/>
          <w:lang w:val="en-US" w:eastAsia="zh-CN"/>
        </w:rPr>
        <w:t>排查</w:t>
      </w:r>
      <w:r>
        <w:rPr>
          <w:rFonts w:hint="eastAsia" w:ascii="仿宋_GB2312" w:eastAsia="仿宋_GB2312" w:cs="仿宋_GB2312"/>
          <w:snapToGrid w:val="0"/>
          <w:color w:val="auto"/>
          <w:kern w:val="0"/>
          <w:sz w:val="32"/>
          <w:szCs w:val="32"/>
          <w:highlight w:val="none"/>
          <w:lang w:val="en-US" w:eastAsia="zh-CN"/>
        </w:rPr>
        <w:t>大整治</w:t>
      </w:r>
      <w:r>
        <w:rPr>
          <w:rFonts w:hint="eastAsia" w:ascii="仿宋_GB2312" w:hAnsi="宋体" w:eastAsia="仿宋_GB2312" w:cs="仿宋_GB2312"/>
          <w:snapToGrid w:val="0"/>
          <w:color w:val="auto"/>
          <w:kern w:val="0"/>
          <w:sz w:val="32"/>
          <w:szCs w:val="32"/>
          <w:highlight w:val="none"/>
          <w:lang w:val="en-US" w:eastAsia="zh-CN"/>
        </w:rPr>
        <w:t>百日攻坚专项行动</w:t>
      </w:r>
      <w:r>
        <w:rPr>
          <w:rFonts w:hint="eastAsia" w:ascii="仿宋_GB2312" w:eastAsia="仿宋_GB2312" w:cs="仿宋_GB2312"/>
          <w:snapToGrid w:val="0"/>
          <w:color w:val="auto"/>
          <w:kern w:val="0"/>
          <w:sz w:val="32"/>
          <w:szCs w:val="32"/>
          <w:highlight w:val="none"/>
          <w:lang w:val="en-US" w:eastAsia="zh-CN"/>
        </w:rPr>
        <w:t>，共发现并解决问题</w:t>
      </w:r>
      <w:r>
        <w:rPr>
          <w:rFonts w:hint="eastAsia" w:ascii="仿宋_GB2312" w:eastAsia="仿宋_GB2312"/>
          <w:sz w:val="32"/>
          <w:szCs w:val="32"/>
          <w:u w:val="none"/>
          <w:lang w:eastAsia="zh-CN"/>
        </w:rPr>
        <w:t>16</w:t>
      </w:r>
      <w:r>
        <w:rPr>
          <w:rFonts w:hint="eastAsia" w:ascii="仿宋_GB2312" w:eastAsia="仿宋_GB2312"/>
          <w:sz w:val="32"/>
          <w:szCs w:val="32"/>
          <w:u w:val="none"/>
          <w:lang w:val="en-US" w:eastAsia="zh-CN"/>
        </w:rPr>
        <w:t>76</w:t>
      </w:r>
      <w:r>
        <w:rPr>
          <w:rFonts w:hint="eastAsia" w:ascii="仿宋_GB2312" w:eastAsia="仿宋_GB2312"/>
          <w:sz w:val="32"/>
          <w:szCs w:val="32"/>
          <w:u w:val="none"/>
          <w:lang w:eastAsia="zh-CN"/>
        </w:rPr>
        <w:t>个。围绕长江岸线、自然保护地、工</w:t>
      </w:r>
      <w:r>
        <w:rPr>
          <w:rFonts w:hint="eastAsia" w:ascii="仿宋_GB2312" w:hAnsi="宋体" w:eastAsia="仿宋_GB2312" w:cs="仿宋_GB2312"/>
          <w:snapToGrid w:val="0"/>
          <w:color w:val="auto"/>
          <w:kern w:val="0"/>
          <w:sz w:val="32"/>
          <w:szCs w:val="32"/>
          <w:highlight w:val="none"/>
          <w:lang w:val="en-US" w:eastAsia="zh-CN"/>
        </w:rPr>
        <w:t>业园区等重点领域开展常态化排查，</w:t>
      </w:r>
      <w:bookmarkStart w:id="3" w:name="OLE_LINK85"/>
      <w:r>
        <w:rPr>
          <w:rFonts w:hint="eastAsia" w:ascii="仿宋_GB2312" w:hAnsi="宋体" w:eastAsia="仿宋_GB2312" w:cs="仿宋_GB2312"/>
          <w:snapToGrid w:val="0"/>
          <w:color w:val="auto"/>
          <w:kern w:val="0"/>
          <w:sz w:val="32"/>
          <w:szCs w:val="32"/>
          <w:highlight w:val="none"/>
          <w:lang w:val="en-US" w:eastAsia="zh-CN"/>
        </w:rPr>
        <w:t>拍摄市突出生态环境问题专题警示片，2024年以来披露问题88个。</w:t>
      </w:r>
      <w:bookmarkEnd w:id="3"/>
      <w:r>
        <w:rPr>
          <w:rFonts w:hint="eastAsia" w:ascii="仿宋_GB2312" w:hAnsi="仿宋_GB2312" w:eastAsia="仿宋_GB2312" w:cs="仿宋_GB2312"/>
          <w:color w:val="000000"/>
          <w:sz w:val="32"/>
          <w:szCs w:val="32"/>
          <w:highlight w:val="none"/>
          <w:lang w:val="en-US" w:eastAsia="zh-CN"/>
        </w:rPr>
        <w:t>深入贯彻落实</w:t>
      </w:r>
      <w:r>
        <w:rPr>
          <w:rFonts w:hint="default" w:ascii="仿宋_GB2312" w:hAnsi="仿宋_GB2312" w:eastAsia="仿宋_GB2312" w:cs="仿宋_GB2312"/>
          <w:color w:val="000000"/>
          <w:sz w:val="32"/>
          <w:szCs w:val="32"/>
          <w:highlight w:val="none"/>
          <w:lang w:val="en-US" w:eastAsia="zh-CN"/>
        </w:rPr>
        <w:t>全省长江大保护工作座谈会会议精神</w:t>
      </w:r>
      <w:r>
        <w:rPr>
          <w:rFonts w:hint="eastAsia" w:ascii="仿宋_GB2312" w:hAnsi="仿宋_GB2312" w:eastAsia="仿宋_GB2312" w:cs="仿宋_GB2312"/>
          <w:color w:val="000000"/>
          <w:sz w:val="32"/>
          <w:szCs w:val="32"/>
          <w:highlight w:val="none"/>
          <w:lang w:val="en-US" w:eastAsia="zh-CN"/>
        </w:rPr>
        <w:t>，</w:t>
      </w:r>
      <w:r>
        <w:rPr>
          <w:rFonts w:hint="eastAsia" w:ascii="仿宋_GB2312" w:hAnsi="仿宋_GB2312" w:eastAsia="仿宋_GB2312" w:cs="仿宋_GB2312"/>
          <w:color w:val="auto"/>
          <w:sz w:val="32"/>
          <w:szCs w:val="32"/>
          <w:highlight w:val="none"/>
          <w:lang w:val="en-US" w:eastAsia="zh-CN"/>
        </w:rPr>
        <w:t>研究制定《池州市突出生态环境问题拉网式大排查大起底“6+1+N”实施方案》，组织各地各部门开展</w:t>
      </w:r>
      <w:r>
        <w:rPr>
          <w:rFonts w:hint="default" w:ascii="仿宋_GB2312" w:hAnsi="仿宋_GB2312" w:eastAsia="仿宋_GB2312" w:cs="仿宋_GB2312"/>
          <w:color w:val="auto"/>
          <w:sz w:val="32"/>
          <w:szCs w:val="32"/>
          <w:highlight w:val="none"/>
          <w:lang w:val="en-US" w:eastAsia="zh-CN"/>
        </w:rPr>
        <w:t>全方位、全领域、全地域排查。</w:t>
      </w:r>
      <w:r>
        <w:rPr>
          <w:rFonts w:hint="eastAsia" w:ascii="仿宋_GB2312" w:hAnsi="宋体" w:eastAsia="仿宋_GB2312" w:cs="仿宋_GB2312"/>
          <w:snapToGrid w:val="0"/>
          <w:color w:val="auto"/>
          <w:kern w:val="0"/>
          <w:sz w:val="32"/>
          <w:szCs w:val="32"/>
          <w:highlight w:val="none"/>
          <w:lang w:val="en-US" w:eastAsia="zh-CN"/>
        </w:rPr>
        <w:t>扎实推进餐饮油烟、噪声扰民、恶臭异味和道路扬尘问题专项整治，2025年以来共解决相关问题</w:t>
      </w:r>
      <w:r>
        <w:rPr>
          <w:rFonts w:hint="eastAsia" w:ascii="仿宋_GB2312" w:hAnsi="仿宋_GB2312" w:eastAsia="仿宋_GB2312" w:cs="仿宋_GB2312"/>
          <w:snapToGrid w:val="0"/>
          <w:color w:val="000000"/>
          <w:kern w:val="0"/>
          <w:sz w:val="32"/>
          <w:szCs w:val="32"/>
          <w:highlight w:val="none"/>
          <w:lang w:val="en-US" w:eastAsia="zh-CN"/>
        </w:rPr>
        <w:t>5236</w:t>
      </w:r>
      <w:r>
        <w:rPr>
          <w:rFonts w:hint="eastAsia" w:ascii="仿宋_GB2312" w:hAnsi="宋体" w:eastAsia="仿宋_GB2312" w:cs="仿宋_GB2312"/>
          <w:snapToGrid w:val="0"/>
          <w:color w:val="auto"/>
          <w:kern w:val="0"/>
          <w:sz w:val="32"/>
          <w:szCs w:val="32"/>
          <w:highlight w:val="none"/>
          <w:lang w:val="en-US" w:eastAsia="zh-CN"/>
        </w:rPr>
        <w:t>个。</w:t>
      </w:r>
    </w:p>
    <w:p w14:paraId="5758FBF5">
      <w:pPr>
        <w:pStyle w:val="9"/>
        <w:keepNext w:val="0"/>
        <w:keepLines w:val="0"/>
        <w:pageBreakBefore w:val="0"/>
        <w:widowControl w:val="0"/>
        <w:kinsoku/>
        <w:wordWrap/>
        <w:topLinePunct w:val="0"/>
        <w:autoSpaceDE/>
        <w:autoSpaceDN/>
        <w:bidi w:val="0"/>
        <w:spacing w:line="560" w:lineRule="exact"/>
        <w:ind w:left="0" w:leftChars="0" w:firstLine="640" w:firstLineChars="200"/>
        <w:textAlignment w:val="auto"/>
        <w:rPr>
          <w:rFonts w:hint="eastAsia"/>
          <w:lang w:val="en-US" w:eastAsia="zh-CN"/>
        </w:rPr>
      </w:pPr>
      <w:r>
        <w:rPr>
          <w:rFonts w:hint="eastAsia" w:ascii="仿宋_GB2312" w:eastAsia="楷体_GB2312"/>
          <w:sz w:val="32"/>
          <w:szCs w:val="32"/>
          <w:u w:val="none"/>
          <w:lang w:eastAsia="zh-CN"/>
        </w:rPr>
        <w:t>（四）坚持生态优先，筑牢生态环境保护安全屏障。</w:t>
      </w:r>
      <w:bookmarkStart w:id="4" w:name="OLE_LINK62"/>
      <w:bookmarkStart w:id="5" w:name="OLE_LINK79"/>
      <w:r>
        <w:rPr>
          <w:rFonts w:hint="eastAsia" w:ascii="仿宋_GB2312" w:hAnsi="仿宋_GB2312" w:eastAsia="仿宋_GB2312" w:cs="仿宋_GB2312"/>
          <w:color w:val="000000"/>
          <w:spacing w:val="0"/>
          <w:sz w:val="32"/>
          <w:szCs w:val="32"/>
          <w:lang w:val="en-US" w:eastAsia="zh-CN"/>
        </w:rPr>
        <w:t>实施</w:t>
      </w:r>
      <w:r>
        <w:rPr>
          <w:rFonts w:hint="eastAsia" w:ascii="仿宋_GB2312" w:hAnsi="仿宋_GB2312" w:eastAsia="仿宋_GB2312" w:cs="仿宋_GB2312"/>
          <w:color w:val="auto"/>
          <w:sz w:val="32"/>
          <w:szCs w:val="32"/>
          <w:lang w:val="en-US" w:eastAsia="zh-CN"/>
        </w:rPr>
        <w:t>秋浦河源湿地保护修复项目和平天湖湿地保护修复项目。</w:t>
      </w:r>
      <w:r>
        <w:rPr>
          <w:rFonts w:hint="eastAsia" w:ascii="仿宋_GB2312" w:hAnsi="仿宋_GB2312" w:eastAsia="仿宋_GB2312" w:cs="仿宋_GB2312"/>
          <w:color w:val="auto"/>
          <w:sz w:val="32"/>
          <w:szCs w:val="32"/>
          <w:highlight w:val="none"/>
          <w:lang w:val="en-US" w:eastAsia="zh-CN"/>
        </w:rPr>
        <w:t>完成大王洞景区等3个自然保护地自然资源统一确权登记项目地籍调查。</w:t>
      </w:r>
      <w:r>
        <w:rPr>
          <w:rFonts w:hint="eastAsia" w:ascii="仿宋_GB2312" w:eastAsia="仿宋_GB2312"/>
          <w:sz w:val="32"/>
          <w:szCs w:val="32"/>
          <w:u w:val="none"/>
          <w:lang w:val="en-US" w:eastAsia="zh-CN"/>
        </w:rPr>
        <w:t>推进国土绿化工作，完成年度造林1.56万亩、森林质量精准提升11万亩。</w:t>
      </w:r>
      <w:bookmarkEnd w:id="4"/>
      <w:r>
        <w:rPr>
          <w:rFonts w:hint="eastAsia" w:ascii="仿宋_GB2312" w:hAnsi="仿宋_GB2312" w:eastAsia="仿宋_GB2312" w:cs="仿宋_GB2312"/>
          <w:color w:val="auto"/>
          <w:sz w:val="32"/>
          <w:szCs w:val="32"/>
          <w:lang w:val="en-US" w:eastAsia="zh-CN"/>
        </w:rPr>
        <w:t>持续开展“中国渔政亮剑”等专项执法行动，</w:t>
      </w:r>
      <w:r>
        <w:rPr>
          <w:rFonts w:hint="eastAsia" w:ascii="仿宋_GB2312" w:hAnsi="仿宋_GB2312" w:eastAsia="仿宋_GB2312" w:cs="仿宋_GB2312"/>
          <w:sz w:val="32"/>
          <w:szCs w:val="32"/>
          <w:lang w:val="en-US" w:eastAsia="zh-CN"/>
        </w:rPr>
        <w:t>2025年以来开展联合执法370次，及时查办涉渔违法违规案件。</w:t>
      </w:r>
      <w:r>
        <w:rPr>
          <w:rFonts w:hint="eastAsia" w:ascii="仿宋_GB2312" w:hAnsi="仿宋_GB2312" w:eastAsia="仿宋_GB2312" w:cs="仿宋_GB2312"/>
          <w:color w:val="auto"/>
          <w:sz w:val="32"/>
          <w:szCs w:val="32"/>
          <w:lang w:val="en-US" w:eastAsia="zh-CN"/>
        </w:rPr>
        <w:t>聚焦重点领域和重点流域开展环境风险隐患排查，强化汛期生态环境安全保障，守牢生态环境安全底线。</w:t>
      </w:r>
      <w:r>
        <w:rPr>
          <w:rFonts w:hint="eastAsia" w:ascii="仿宋_GB2312" w:hAnsi="仿宋_GB2312" w:eastAsia="仿宋_GB2312" w:cs="仿宋_GB2312"/>
          <w:color w:val="000000"/>
          <w:sz w:val="32"/>
          <w:szCs w:val="32"/>
          <w:lang w:val="en-US" w:eastAsia="zh-CN"/>
        </w:rPr>
        <w:t>加强“三线一单”成果与生态保护红线评估、国土空间规划“双评价”成果相协调。</w:t>
      </w:r>
    </w:p>
    <w:bookmarkEnd w:id="5"/>
    <w:p w14:paraId="192FBB21">
      <w:pPr>
        <w:keepNext w:val="0"/>
        <w:keepLines w:val="0"/>
        <w:pageBreakBefore w:val="0"/>
        <w:widowControl w:val="0"/>
        <w:kinsoku/>
        <w:wordWrap/>
        <w:overflowPunct w:val="0"/>
        <w:topLinePunct w:val="0"/>
        <w:autoSpaceDE/>
        <w:autoSpaceDN/>
        <w:bidi w:val="0"/>
        <w:adjustRightInd/>
        <w:snapToGrid/>
        <w:spacing w:beforeLines="0" w:beforeAutospacing="0" w:afterLines="0" w:afterAutospacing="0" w:line="580" w:lineRule="exact"/>
        <w:ind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楷体" w:hAnsi="楷体" w:eastAsia="楷体_GB2312" w:cs="楷体"/>
          <w:b w:val="0"/>
          <w:bCs w:val="0"/>
          <w:color w:val="auto"/>
          <w:sz w:val="32"/>
          <w:szCs w:val="32"/>
          <w:highlight w:val="none"/>
          <w:lang w:val="en-US" w:eastAsia="zh-CN"/>
        </w:rPr>
        <w:t>（五）紧盯重点领域，加快补齐环境基础设施短板。</w:t>
      </w:r>
      <w:r>
        <w:rPr>
          <w:rFonts w:hint="eastAsia" w:ascii="仿宋_GB2312" w:hAnsi="仿宋_GB2312" w:eastAsia="仿宋_GB2312" w:cs="仿宋_GB2312"/>
          <w:b w:val="0"/>
          <w:bCs w:val="0"/>
          <w:kern w:val="0"/>
          <w:sz w:val="32"/>
          <w:szCs w:val="32"/>
          <w:lang w:val="en-US" w:eastAsia="zh-CN" w:bidi="ar"/>
        </w:rPr>
        <w:t>扎实推进城市污水管网整治攻坚三年提升行动，2024年以来修复改造城市污水管网163.9公里</w:t>
      </w:r>
      <w:r>
        <w:rPr>
          <w:rFonts w:hint="eastAsia" w:ascii="仿宋_GB2312" w:hAnsi="仿宋_GB2312" w:eastAsia="仿宋_GB2312" w:cs="仿宋_GB2312"/>
          <w:b w:val="0"/>
          <w:bCs w:val="0"/>
          <w:sz w:val="32"/>
          <w:szCs w:val="32"/>
          <w:lang w:val="en-US" w:eastAsia="zh-CN"/>
        </w:rPr>
        <w:t>。加快推进城东污水处理厂二期建设，新增生活污水日处理能力2万吨。结合池州市城区排水防涝综合能力提升建设工程，对清溪河流域沿河排口进行溯源排查，已完成17个小区管网改造工程。</w:t>
      </w:r>
      <w:r>
        <w:rPr>
          <w:rFonts w:hint="eastAsia" w:ascii="仿宋_GB2312" w:hAnsi="仿宋_GB2312" w:eastAsia="仿宋_GB2312" w:cs="仿宋_GB2312"/>
          <w:color w:val="000000"/>
          <w:spacing w:val="0"/>
          <w:sz w:val="32"/>
          <w:szCs w:val="32"/>
          <w:lang w:val="en-US" w:eastAsia="zh-CN"/>
        </w:rPr>
        <w:t>加快推进农村生活污水整治提升工作，</w:t>
      </w:r>
      <w:r>
        <w:rPr>
          <w:rFonts w:hint="eastAsia" w:ascii="仿宋_GB2312" w:hAnsi="仿宋_GB2312" w:eastAsia="仿宋_GB2312" w:cs="仿宋_GB2312"/>
          <w:color w:val="auto"/>
          <w:kern w:val="2"/>
          <w:sz w:val="32"/>
          <w:szCs w:val="32"/>
          <w:lang w:val="en-US" w:eastAsia="zh-CN" w:bidi="ar-SA"/>
        </w:rPr>
        <w:t>全市农村生活污水治理率达53.3%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b w:val="0"/>
          <w:bCs w:val="0"/>
          <w:color w:val="000000"/>
          <w:kern w:val="0"/>
          <w:sz w:val="32"/>
          <w:szCs w:val="32"/>
          <w:lang w:val="en-US" w:eastAsia="zh-CN" w:bidi="ar"/>
        </w:rPr>
        <w:t>完成</w:t>
      </w:r>
      <w:r>
        <w:rPr>
          <w:rFonts w:hint="eastAsia" w:ascii="仿宋_GB2312" w:hAnsi="仿宋_GB2312" w:eastAsia="仿宋_GB2312" w:cs="仿宋_GB2312"/>
          <w:color w:val="000000"/>
          <w:sz w:val="32"/>
          <w:szCs w:val="32"/>
          <w:lang w:val="en-US" w:eastAsia="zh-CN"/>
        </w:rPr>
        <w:t>生活垃圾焚烧飞灰固化物填埋场（一期）工程和市中心城区建筑垃圾综合处置项目建设任务，</w:t>
      </w:r>
      <w:r>
        <w:rPr>
          <w:rFonts w:hint="eastAsia" w:ascii="仿宋_GB2312" w:hAnsi="仿宋_GB2312" w:eastAsia="仿宋_GB2312" w:cs="仿宋_GB2312"/>
          <w:b w:val="0"/>
          <w:bCs w:val="0"/>
          <w:color w:val="000000"/>
          <w:sz w:val="32"/>
          <w:szCs w:val="32"/>
          <w:lang w:val="en-US" w:eastAsia="zh-CN"/>
        </w:rPr>
        <w:t>市、县建筑垃圾污染防治规划实现全覆盖。</w:t>
      </w:r>
    </w:p>
    <w:p w14:paraId="63430CC0">
      <w:pPr>
        <w:pStyle w:val="9"/>
        <w:keepNext w:val="0"/>
        <w:keepLines w:val="0"/>
        <w:pageBreakBefore w:val="0"/>
        <w:widowControl w:val="0"/>
        <w:kinsoku/>
        <w:wordWrap/>
        <w:overflowPunct w:val="0"/>
        <w:topLinePunct w:val="0"/>
        <w:autoSpaceDE/>
        <w:autoSpaceDN/>
        <w:bidi w:val="0"/>
        <w:spacing w:line="560" w:lineRule="exact"/>
        <w:ind w:left="0" w:leftChars="0" w:firstLine="640" w:firstLineChars="200"/>
        <w:jc w:val="both"/>
        <w:textAlignment w:val="auto"/>
        <w:rPr>
          <w:rFonts w:hint="eastAsia" w:ascii="仿宋_GB2312" w:hAnsi="仿宋_GB2312" w:eastAsia="仿宋_GB2312" w:cs="仿宋_GB2312"/>
          <w:color w:val="auto"/>
          <w:sz w:val="32"/>
          <w:szCs w:val="32"/>
          <w:highlight w:val="none"/>
          <w:lang w:val="en-US" w:eastAsia="zh-CN" w:bidi="ar"/>
        </w:rPr>
      </w:pPr>
      <w:r>
        <w:rPr>
          <w:rFonts w:hint="eastAsia" w:ascii="仿宋_GB2312" w:hAnsi="Times New Roman" w:eastAsia="楷体_GB2312" w:cs="Times New Roman"/>
          <w:sz w:val="32"/>
          <w:szCs w:val="32"/>
          <w:u w:val="none"/>
          <w:lang w:eastAsia="zh-CN"/>
        </w:rPr>
        <w:t>（六）助力绿色发展，</w:t>
      </w:r>
      <w:r>
        <w:rPr>
          <w:rFonts w:hint="eastAsia" w:ascii="仿宋_GB2312" w:hAnsi="Times New Roman" w:eastAsia="楷体_GB2312" w:cs="Times New Roman"/>
          <w:sz w:val="32"/>
          <w:szCs w:val="32"/>
          <w:u w:val="none"/>
          <w:lang w:val="en-US" w:eastAsia="zh-CN"/>
        </w:rPr>
        <w:t>加快推动发展方式绿色低碳转型</w:t>
      </w:r>
      <w:r>
        <w:rPr>
          <w:rFonts w:hint="eastAsia" w:ascii="仿宋_GB2312" w:hAnsi="Times New Roman" w:eastAsia="楷体_GB2312" w:cs="Times New Roman"/>
          <w:sz w:val="32"/>
          <w:szCs w:val="32"/>
          <w:u w:val="none"/>
          <w:lang w:eastAsia="zh-CN"/>
        </w:rPr>
        <w:t>。</w:t>
      </w:r>
      <w:r>
        <w:rPr>
          <w:rFonts w:hint="eastAsia" w:ascii="仿宋_GB2312" w:hAnsi="宋体" w:eastAsia="仿宋_GB2312" w:cs="仿宋_GB2312"/>
          <w:snapToGrid w:val="0"/>
          <w:color w:val="auto"/>
          <w:kern w:val="0"/>
          <w:sz w:val="32"/>
          <w:szCs w:val="32"/>
          <w:highlight w:val="none"/>
          <w:lang w:val="en-US" w:eastAsia="zh-CN"/>
        </w:rPr>
        <w:t>坚持把绿色低碳发展作为解决生态环境问题的治本之策，</w:t>
      </w:r>
      <w:r>
        <w:rPr>
          <w:rFonts w:hint="eastAsia" w:ascii="仿宋_GB2312" w:hAnsi="仿宋_GB2312" w:eastAsia="仿宋_GB2312" w:cs="仿宋_GB2312"/>
          <w:snapToGrid w:val="0"/>
          <w:color w:val="000000"/>
          <w:kern w:val="0"/>
          <w:sz w:val="32"/>
          <w:szCs w:val="32"/>
          <w:highlight w:val="none"/>
          <w:lang w:val="en-US" w:eastAsia="zh-CN"/>
        </w:rPr>
        <w:t>大力发展半导体、新材料、高端装备制造、商业航天、低空经济等产业</w:t>
      </w:r>
      <w:r>
        <w:rPr>
          <w:rFonts w:hint="eastAsia" w:ascii="仿宋_GB2312" w:hAnsi="宋体" w:eastAsia="仿宋_GB2312" w:cs="仿宋_GB2312"/>
          <w:snapToGrid w:val="0"/>
          <w:color w:val="auto"/>
          <w:kern w:val="0"/>
          <w:sz w:val="32"/>
          <w:szCs w:val="32"/>
          <w:highlight w:val="none"/>
          <w:lang w:val="en-US" w:eastAsia="zh-CN"/>
        </w:rPr>
        <w:t>，</w:t>
      </w:r>
      <w:bookmarkStart w:id="6" w:name="OLE_LINK6"/>
      <w:r>
        <w:rPr>
          <w:rFonts w:hint="eastAsia" w:ascii="仿宋_GB2312" w:hAnsi="宋体" w:eastAsia="仿宋_GB2312" w:cs="仿宋_GB2312"/>
          <w:snapToGrid w:val="0"/>
          <w:color w:val="auto"/>
          <w:kern w:val="0"/>
          <w:sz w:val="32"/>
          <w:szCs w:val="32"/>
          <w:highlight w:val="none"/>
          <w:lang w:val="en-US" w:eastAsia="zh-CN"/>
        </w:rPr>
        <w:t>2024年全市</w:t>
      </w:r>
      <w:r>
        <w:rPr>
          <w:rFonts w:hint="eastAsia" w:ascii="仿宋_GB2312" w:hAnsi="仿宋_GB2312" w:eastAsia="仿宋_GB2312" w:cs="仿宋_GB2312"/>
          <w:b w:val="0"/>
          <w:bCs w:val="0"/>
          <w:color w:val="000000"/>
          <w:kern w:val="0"/>
          <w:sz w:val="32"/>
          <w:szCs w:val="32"/>
          <w:highlight w:val="none"/>
          <w:lang w:val="en-US" w:eastAsia="zh-CN" w:bidi="ar-SA"/>
        </w:rPr>
        <w:t>战略性新兴</w:t>
      </w:r>
      <w:r>
        <w:rPr>
          <w:rFonts w:hint="eastAsia" w:ascii="仿宋_GB2312" w:hAnsi="宋体" w:eastAsia="仿宋_GB2312" w:cs="仿宋_GB2312"/>
          <w:snapToGrid w:val="0"/>
          <w:color w:val="auto"/>
          <w:kern w:val="0"/>
          <w:sz w:val="32"/>
          <w:szCs w:val="32"/>
          <w:highlight w:val="none"/>
          <w:lang w:val="en-US" w:eastAsia="zh-CN"/>
        </w:rPr>
        <w:t>产业产值占规上工业比重46.5%、高出全省平均水平2.9个百分点</w:t>
      </w:r>
      <w:bookmarkEnd w:id="6"/>
      <w:r>
        <w:rPr>
          <w:rFonts w:hint="eastAsia" w:ascii="仿宋_GB2312" w:hAnsi="宋体" w:eastAsia="仿宋_GB2312" w:cs="仿宋_GB2312"/>
          <w:snapToGrid w:val="0"/>
          <w:color w:val="auto"/>
          <w:kern w:val="0"/>
          <w:sz w:val="32"/>
          <w:szCs w:val="32"/>
          <w:highlight w:val="none"/>
          <w:lang w:val="en-US" w:eastAsia="zh-CN"/>
        </w:rPr>
        <w:t>。积极推动重点用能设备的能效提升，2024年全市规上工业单位</w:t>
      </w:r>
      <w:r>
        <w:rPr>
          <w:rFonts w:hint="eastAsia" w:ascii="仿宋_GB2312" w:hAnsi="仿宋_GB2312" w:eastAsia="仿宋_GB2312" w:cs="仿宋_GB2312"/>
          <w:color w:val="auto"/>
          <w:kern w:val="0"/>
          <w:sz w:val="32"/>
          <w:szCs w:val="32"/>
          <w:highlight w:val="none"/>
          <w:lang w:val="en-US" w:eastAsia="zh-CN"/>
        </w:rPr>
        <w:t>增加值能耗累计下降1.4%，</w:t>
      </w:r>
      <w:r>
        <w:rPr>
          <w:rFonts w:hint="eastAsia" w:ascii="仿宋_GB2312" w:hAnsi="仿宋_GB2312" w:eastAsia="仿宋_GB2312" w:cs="仿宋_GB2312"/>
          <w:color w:val="000000"/>
          <w:kern w:val="0"/>
          <w:sz w:val="32"/>
          <w:szCs w:val="32"/>
          <w:highlight w:val="none"/>
          <w:lang w:val="en-US" w:eastAsia="zh-CN"/>
        </w:rPr>
        <w:t>其中19个行业</w:t>
      </w:r>
      <w:r>
        <w:rPr>
          <w:rFonts w:hint="eastAsia" w:ascii="仿宋_GB2312" w:hAnsi="仿宋_GB2312" w:eastAsia="仿宋_GB2312"/>
          <w:color w:val="000000"/>
          <w:sz w:val="32"/>
          <w:szCs w:val="32"/>
        </w:rPr>
        <w:t>单位增加值能耗较上一年</w:t>
      </w:r>
      <w:r>
        <w:rPr>
          <w:rFonts w:hint="eastAsia" w:ascii="仿宋_GB2312" w:hAnsi="仿宋_GB2312" w:eastAsia="仿宋_GB2312"/>
          <w:color w:val="000000"/>
          <w:sz w:val="32"/>
          <w:szCs w:val="32"/>
          <w:lang w:eastAsia="zh-CN"/>
        </w:rPr>
        <w:t>度</w:t>
      </w:r>
      <w:r>
        <w:rPr>
          <w:rFonts w:hint="eastAsia" w:ascii="仿宋_GB2312" w:hAnsi="仿宋_GB2312" w:eastAsia="仿宋_GB2312" w:cs="仿宋_GB2312"/>
          <w:color w:val="000000"/>
          <w:kern w:val="2"/>
          <w:sz w:val="32"/>
          <w:szCs w:val="32"/>
          <w:lang w:val="en-US" w:eastAsia="zh-CN" w:bidi="ar-SA"/>
        </w:rPr>
        <w:t>下降比例超过50%</w:t>
      </w:r>
      <w:r>
        <w:rPr>
          <w:rFonts w:hint="eastAsia" w:ascii="仿宋_GB2312" w:hAnsi="仿宋_GB2312" w:eastAsia="仿宋_GB2312" w:cs="仿宋_GB2312"/>
          <w:color w:val="auto"/>
          <w:sz w:val="32"/>
          <w:szCs w:val="32"/>
          <w:highlight w:val="none"/>
          <w:lang w:val="en-US" w:eastAsia="zh-CN" w:bidi="ar"/>
        </w:rPr>
        <w:t>。</w:t>
      </w:r>
      <w:bookmarkStart w:id="7" w:name="OLE_LINK61"/>
      <w:bookmarkStart w:id="8" w:name="OLE_LINK60"/>
      <w:r>
        <w:rPr>
          <w:rFonts w:hint="eastAsia" w:ascii="仿宋_GB2312" w:hAnsi="仿宋_GB2312" w:eastAsia="仿宋_GB2312" w:cs="仿宋_GB2312"/>
          <w:color w:val="auto"/>
          <w:sz w:val="32"/>
          <w:szCs w:val="32"/>
          <w:highlight w:val="none"/>
          <w:lang w:val="en-US" w:eastAsia="zh-CN"/>
        </w:rPr>
        <w:t>镁基轻合金产品中试平台入选首批工业和信息化部重点培育中试平台名单，全市新兴产业保持良好发展态势。</w:t>
      </w:r>
      <w:r>
        <w:rPr>
          <w:rFonts w:hint="eastAsia" w:ascii="仿宋_GB2312" w:hAnsi="仿宋_GB2312" w:eastAsia="仿宋_GB2312" w:cs="仿宋_GB2312"/>
          <w:b w:val="0"/>
          <w:bCs w:val="0"/>
          <w:color w:val="000000"/>
          <w:sz w:val="32"/>
          <w:szCs w:val="32"/>
          <w:lang w:val="en-US" w:eastAsia="zh-CN"/>
        </w:rPr>
        <w:t>积极推进省级“以竹代塑”应用推广试点建设，创成省级生态产品价值实现机制试点，助力构建绿色低碳循环经济体系</w:t>
      </w:r>
      <w:r>
        <w:rPr>
          <w:rFonts w:hint="eastAsia" w:ascii="仿宋_GB2312" w:hAnsi="仿宋_GB2312" w:eastAsia="仿宋_GB2312" w:cs="仿宋_GB2312"/>
          <w:b w:val="0"/>
          <w:bCs w:val="0"/>
          <w:color w:val="000000"/>
          <w:sz w:val="32"/>
          <w:szCs w:val="32"/>
          <w:highlight w:val="none"/>
          <w:lang w:val="en-US" w:eastAsia="zh-CN"/>
        </w:rPr>
        <w:t>。</w:t>
      </w:r>
      <w:r>
        <w:rPr>
          <w:rFonts w:hint="eastAsia" w:ascii="仿宋_GB2312" w:hAnsi="仿宋_GB2312" w:eastAsia="仿宋_GB2312" w:cs="仿宋_GB2312"/>
          <w:color w:val="000000"/>
          <w:sz w:val="32"/>
          <w:szCs w:val="32"/>
          <w:highlight w:val="none"/>
          <w:lang w:val="en-US" w:eastAsia="zh-CN" w:bidi="ar"/>
        </w:rPr>
        <w:t>推动交通运输绿色转型，加快多式联运示范工程建设，拓展“港廊一体化”运输模式，完成安徽宝镁轻合金有限公司矿产品输送廊道和贵池区矿产品廊道项目建设，持续推进安徽交控东流新材料公司公用运输廊道工程。2025年，岸电使用量累计14.7万千瓦时，同比增长13%。</w:t>
      </w:r>
      <w:bookmarkEnd w:id="7"/>
    </w:p>
    <w:bookmarkEnd w:id="8"/>
    <w:p w14:paraId="0BBF11DB">
      <w:pPr>
        <w:keepNext w:val="0"/>
        <w:keepLines w:val="0"/>
        <w:pageBreakBefore w:val="0"/>
        <w:widowControl w:val="0"/>
        <w:kinsoku/>
        <w:wordWrap/>
        <w:overflowPunct w:val="0"/>
        <w:topLinePunct w:val="0"/>
        <w:autoSpaceDE/>
        <w:autoSpaceDN/>
        <w:bidi w:val="0"/>
        <w:adjustRightInd w:val="0"/>
        <w:snapToGrid w:val="0"/>
        <w:spacing w:line="580" w:lineRule="exact"/>
        <w:ind w:firstLine="640" w:firstLineChars="200"/>
        <w:jc w:val="both"/>
        <w:textAlignment w:val="auto"/>
        <w:rPr>
          <w:rFonts w:eastAsia="黑体"/>
          <w:color w:val="000000"/>
          <w:sz w:val="32"/>
          <w:szCs w:val="32"/>
        </w:rPr>
      </w:pPr>
      <w:r>
        <w:rPr>
          <w:rFonts w:hint="eastAsia" w:ascii="黑体" w:hAnsi="黑体" w:eastAsia="黑体" w:cs="黑体"/>
          <w:color w:val="auto"/>
          <w:kern w:val="2"/>
          <w:sz w:val="32"/>
          <w:szCs w:val="32"/>
          <w:lang w:val="en-US" w:eastAsia="zh-CN" w:bidi="ar-SA"/>
        </w:rPr>
        <w:t>三、</w:t>
      </w:r>
      <w:r>
        <w:rPr>
          <w:rFonts w:eastAsia="黑体"/>
          <w:color w:val="000000"/>
          <w:sz w:val="32"/>
          <w:szCs w:val="32"/>
        </w:rPr>
        <w:t>下一步工作安排</w:t>
      </w:r>
    </w:p>
    <w:p w14:paraId="7BBD9B71">
      <w:pPr>
        <w:pStyle w:val="4"/>
        <w:keepNext/>
        <w:keepLines/>
        <w:pageBreakBefore w:val="0"/>
        <w:widowControl w:val="0"/>
        <w:kinsoku/>
        <w:wordWrap/>
        <w:overflowPunct/>
        <w:topLinePunct w:val="0"/>
        <w:autoSpaceDE/>
        <w:autoSpaceDN/>
        <w:bidi w:val="0"/>
        <w:adjustRightInd/>
        <w:snapToGrid/>
        <w:spacing w:before="0" w:after="0" w:line="560" w:lineRule="exact"/>
        <w:ind w:firstLine="640" w:firstLineChars="200"/>
        <w:textAlignment w:val="auto"/>
        <w:outlineLvl w:val="1"/>
        <w:rPr>
          <w:rFonts w:hint="eastAsia" w:ascii="仿宋_GB2312" w:hAnsi="仿宋_GB2312" w:eastAsia="仿宋_GB2312" w:cs="仿宋_GB2312"/>
          <w:b w:val="0"/>
          <w:bCs w:val="0"/>
          <w:i w:val="0"/>
          <w:iCs w:val="0"/>
          <w:caps w:val="0"/>
          <w:spacing w:val="0"/>
          <w:kern w:val="2"/>
          <w:sz w:val="32"/>
          <w:szCs w:val="32"/>
          <w:shd w:val="clear" w:fill="FFFFFF"/>
          <w:lang w:val="en-US" w:eastAsia="zh-CN" w:bidi="zh-CN"/>
        </w:rPr>
      </w:pPr>
      <w:r>
        <w:rPr>
          <w:rFonts w:hint="eastAsia" w:ascii="仿宋_GB2312" w:hAnsi="仿宋_GB2312" w:eastAsia="仿宋_GB2312" w:cs="仿宋_GB2312"/>
          <w:b w:val="0"/>
          <w:bCs w:val="0"/>
          <w:i w:val="0"/>
          <w:iCs w:val="0"/>
          <w:caps w:val="0"/>
          <w:spacing w:val="0"/>
          <w:kern w:val="2"/>
          <w:sz w:val="32"/>
          <w:szCs w:val="32"/>
          <w:shd w:val="clear" w:fill="FFFFFF"/>
          <w:lang w:val="en-US" w:eastAsia="zh-CN" w:bidi="zh-CN"/>
        </w:rPr>
        <w:t>我市</w:t>
      </w:r>
      <w:bookmarkStart w:id="9" w:name="OLE_LINK39"/>
      <w:r>
        <w:rPr>
          <w:rFonts w:hint="eastAsia" w:ascii="仿宋_GB2312" w:hAnsi="仿宋_GB2312" w:eastAsia="仿宋_GB2312" w:cs="仿宋_GB2312"/>
          <w:b w:val="0"/>
          <w:bCs w:val="0"/>
          <w:i w:val="0"/>
          <w:iCs w:val="0"/>
          <w:caps w:val="0"/>
          <w:spacing w:val="0"/>
          <w:kern w:val="2"/>
          <w:sz w:val="32"/>
          <w:szCs w:val="32"/>
          <w:shd w:val="clear" w:fill="FFFFFF"/>
          <w:lang w:val="en-US" w:eastAsia="zh-CN" w:bidi="zh-CN"/>
        </w:rPr>
        <w:t>将深入践行习近平生态文明思想</w:t>
      </w:r>
      <w:bookmarkEnd w:id="9"/>
      <w:r>
        <w:rPr>
          <w:rFonts w:hint="eastAsia" w:ascii="仿宋_GB2312" w:hAnsi="仿宋_GB2312" w:eastAsia="仿宋_GB2312" w:cs="仿宋_GB2312"/>
          <w:b w:val="0"/>
          <w:bCs w:val="0"/>
          <w:i w:val="0"/>
          <w:iCs w:val="0"/>
          <w:caps w:val="0"/>
          <w:spacing w:val="0"/>
          <w:kern w:val="2"/>
          <w:sz w:val="32"/>
          <w:szCs w:val="32"/>
          <w:shd w:val="clear" w:fill="FFFFFF"/>
          <w:lang w:val="en-US" w:eastAsia="zh-CN" w:bidi="zh-CN"/>
        </w:rPr>
        <w:t>，扛牢生态环境保护政治责任，坚持问题导向，抓实问题整改，推动全市生态环境质量持续改善。</w:t>
      </w:r>
    </w:p>
    <w:p w14:paraId="609FAEEB">
      <w:pPr>
        <w:keepNext w:val="0"/>
        <w:keepLines w:val="0"/>
        <w:pageBreakBefore w:val="0"/>
        <w:widowControl w:val="0"/>
        <w:kinsoku/>
        <w:wordWrap/>
        <w:overflowPunct w:val="0"/>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color w:val="000000"/>
          <w:sz w:val="32"/>
          <w:szCs w:val="32"/>
          <w:lang w:val="en-US" w:eastAsia="zh-CN"/>
        </w:rPr>
      </w:pPr>
      <w:r>
        <w:rPr>
          <w:rFonts w:hint="eastAsia" w:ascii="仿宋_GB2312" w:eastAsia="楷体_GB2312"/>
          <w:sz w:val="32"/>
          <w:szCs w:val="32"/>
          <w:u w:val="none"/>
          <w:lang w:eastAsia="zh-CN"/>
        </w:rPr>
        <w:t>（一）抓好突出生态环境问题排查整治。</w:t>
      </w:r>
      <w:r>
        <w:rPr>
          <w:rFonts w:hint="eastAsia" w:ascii="仿宋_GB2312" w:eastAsia="仿宋_GB2312"/>
          <w:sz w:val="32"/>
          <w:szCs w:val="32"/>
          <w:u w:val="none"/>
          <w:lang w:val="en-US" w:eastAsia="zh-CN"/>
        </w:rPr>
        <w:t>加快推进</w:t>
      </w:r>
      <w:r>
        <w:rPr>
          <w:rFonts w:hint="eastAsia" w:ascii="仿宋_GB2312" w:eastAsia="仿宋_GB2312"/>
          <w:sz w:val="32"/>
          <w:szCs w:val="32"/>
          <w:u w:val="none"/>
          <w:lang w:eastAsia="zh-CN"/>
        </w:rPr>
        <w:t>督察反馈等省级以上层面交办问题整改，</w:t>
      </w:r>
      <w:r>
        <w:rPr>
          <w:rFonts w:hint="eastAsia" w:ascii="仿宋_GB2312" w:hAnsi="仿宋_GB2312" w:eastAsia="仿宋_GB2312" w:cs="仿宋_GB2312"/>
          <w:color w:val="000000" w:themeColor="text1"/>
          <w:spacing w:val="0"/>
          <w:sz w:val="32"/>
          <w:szCs w:val="32"/>
          <w:lang w:val="en-US" w:eastAsia="zh-CN"/>
          <w14:textFill>
            <w14:solidFill>
              <w14:schemeClr w14:val="tx1"/>
            </w14:solidFill>
          </w14:textFill>
        </w:rPr>
        <w:t>对照整改措施、整改标准，有序推进整改、验收和销号工作，落实工作闭环。</w:t>
      </w:r>
      <w:r>
        <w:rPr>
          <w:rFonts w:hint="eastAsia" w:ascii="仿宋_GB2312" w:eastAsia="仿宋_GB2312"/>
          <w:sz w:val="32"/>
          <w:szCs w:val="32"/>
          <w:u w:val="none"/>
          <w:lang w:eastAsia="zh-CN"/>
        </w:rPr>
        <w:t>持续开展突</w:t>
      </w:r>
      <w:r>
        <w:rPr>
          <w:rFonts w:hint="eastAsia" w:ascii="仿宋_GB2312" w:hAnsi="Times New Roman" w:eastAsia="仿宋_GB2312" w:cs="Times New Roman"/>
          <w:sz w:val="32"/>
          <w:szCs w:val="32"/>
          <w:u w:val="none"/>
          <w:lang w:eastAsia="zh-CN"/>
        </w:rPr>
        <w:t>出生态环境问题常态化排查整治。</w:t>
      </w:r>
      <w:r>
        <w:rPr>
          <w:rFonts w:hint="eastAsia" w:ascii="仿宋_GB2312" w:hAnsi="Times New Roman" w:eastAsia="仿宋_GB2312" w:cs="Times New Roman"/>
          <w:sz w:val="32"/>
          <w:szCs w:val="32"/>
          <w:u w:val="none"/>
          <w:lang w:val="en-US" w:eastAsia="zh-CN"/>
        </w:rPr>
        <w:t>认真落实“自查从宽、被查从严”的工作要求，</w:t>
      </w:r>
      <w:r>
        <w:rPr>
          <w:rFonts w:hint="eastAsia" w:ascii="仿宋_GB2312" w:hAnsi="仿宋_GB2312" w:eastAsia="仿宋_GB2312" w:cs="仿宋_GB2312"/>
          <w:i w:val="0"/>
          <w:iCs w:val="0"/>
          <w:caps w:val="0"/>
          <w:spacing w:val="0"/>
          <w:sz w:val="32"/>
          <w:szCs w:val="32"/>
          <w:shd w:val="clear" w:fill="FFFFFF"/>
          <w:lang w:val="en-US" w:eastAsia="zh-CN"/>
        </w:rPr>
        <w:t>围绕重点敏感区域</w:t>
      </w:r>
      <w:r>
        <w:rPr>
          <w:rFonts w:hint="eastAsia" w:ascii="仿宋_GB2312" w:hAnsi="仿宋_GB2312" w:eastAsia="仿宋_GB2312" w:cs="仿宋_GB2312"/>
          <w:color w:val="auto"/>
          <w:sz w:val="32"/>
          <w:szCs w:val="32"/>
          <w:lang w:val="en-US" w:eastAsia="zh-CN"/>
        </w:rPr>
        <w:t>常态化开展排查</w:t>
      </w:r>
      <w:r>
        <w:rPr>
          <w:rFonts w:hint="eastAsia" w:ascii="仿宋_GB2312" w:hAnsi="仿宋_GB2312" w:eastAsia="仿宋_GB2312" w:cs="仿宋_GB2312"/>
          <w:i w:val="0"/>
          <w:iCs w:val="0"/>
          <w:caps w:val="0"/>
          <w:spacing w:val="0"/>
          <w:sz w:val="32"/>
          <w:szCs w:val="32"/>
          <w:shd w:val="clear" w:fill="FFFFFF"/>
          <w:lang w:val="en-US" w:eastAsia="zh-CN"/>
        </w:rPr>
        <w:t>，</w:t>
      </w:r>
      <w:r>
        <w:rPr>
          <w:rFonts w:hint="eastAsia" w:ascii="仿宋_GB2312" w:hAnsi="仿宋_GB2312" w:eastAsia="仿宋_GB2312" w:cs="仿宋_GB2312"/>
          <w:color w:val="auto"/>
          <w:sz w:val="32"/>
          <w:szCs w:val="32"/>
          <w:lang w:val="en-US" w:eastAsia="zh-CN"/>
        </w:rPr>
        <w:t>同时</w:t>
      </w:r>
      <w:r>
        <w:rPr>
          <w:rFonts w:hint="eastAsia" w:ascii="Times New Roman" w:hAnsi="Times New Roman" w:eastAsia="仿宋_GB2312" w:cs="Times New Roman"/>
          <w:b w:val="0"/>
          <w:bCs w:val="0"/>
          <w:color w:val="0D0D0D"/>
          <w:kern w:val="2"/>
          <w:sz w:val="32"/>
          <w:szCs w:val="32"/>
          <w:highlight w:val="none"/>
          <w:u w:val="none"/>
          <w:shd w:val="clear" w:color="auto" w:fill="auto"/>
          <w:lang w:val="en-US" w:eastAsia="zh-CN" w:bidi="zh-TW"/>
        </w:rPr>
        <w:t>加大对环境信访的梳理研判，</w:t>
      </w:r>
      <w:r>
        <w:rPr>
          <w:rFonts w:hint="eastAsia" w:ascii="仿宋_GB2312" w:hAnsi="仿宋_GB2312" w:eastAsia="仿宋_GB2312" w:cs="Times New Roman"/>
          <w:b w:val="0"/>
          <w:bCs w:val="0"/>
          <w:color w:val="000000"/>
          <w:kern w:val="2"/>
          <w:sz w:val="32"/>
          <w:szCs w:val="32"/>
          <w:highlight w:val="none"/>
          <w:u w:val="none"/>
          <w:shd w:val="clear" w:color="auto" w:fill="auto"/>
          <w:lang w:val="en-US" w:eastAsia="zh-CN" w:bidi="zh-TW"/>
        </w:rPr>
        <w:t>积极稳妥解决群众生态环境诉求，</w:t>
      </w:r>
      <w:r>
        <w:rPr>
          <w:rFonts w:hint="eastAsia" w:ascii="仿宋_GB2312" w:hAnsi="仿宋_GB2312" w:eastAsia="仿宋_GB2312" w:cs="仿宋_GB2312"/>
          <w:color w:val="000000"/>
          <w:sz w:val="32"/>
          <w:szCs w:val="32"/>
          <w:lang w:val="en-US" w:eastAsia="zh-CN"/>
        </w:rPr>
        <w:t>切实解决一批重点难点突出生态环境问题。</w:t>
      </w:r>
    </w:p>
    <w:p w14:paraId="29B729F0">
      <w:pPr>
        <w:keepNext w:val="0"/>
        <w:keepLines w:val="0"/>
        <w:pageBreakBefore w:val="0"/>
        <w:widowControl w:val="0"/>
        <w:numPr>
          <w:ilvl w:val="0"/>
          <w:numId w:val="0"/>
        </w:numPr>
        <w:kinsoku/>
        <w:wordWrap/>
        <w:overflowPunct w:val="0"/>
        <w:topLinePunct w:val="0"/>
        <w:autoSpaceDE/>
        <w:autoSpaceDN/>
        <w:bidi w:val="0"/>
        <w:adjustRightInd/>
        <w:snapToGrid/>
        <w:spacing w:beforeLines="0" w:afterLines="0" w:line="580" w:lineRule="exact"/>
        <w:ind w:firstLine="640" w:firstLineChars="200"/>
        <w:jc w:val="both"/>
        <w:textAlignment w:val="auto"/>
        <w:outlineLvl w:val="9"/>
        <w:rPr>
          <w:rFonts w:hint="eastAsia" w:ascii="仿宋_GB2312" w:hAnsi="仿宋_GB2312" w:eastAsia="仿宋_GB2312" w:cs="仿宋_GB2312"/>
          <w:b w:val="0"/>
          <w:bCs w:val="0"/>
          <w:color w:val="000000"/>
          <w:lang w:val="en-US" w:eastAsia="zh-CN"/>
        </w:rPr>
      </w:pPr>
      <w:r>
        <w:rPr>
          <w:rFonts w:hint="eastAsia" w:ascii="Times New Roman" w:hAnsi="Times New Roman" w:eastAsia="楷体_GB2312" w:cs="Times New Roman"/>
          <w:b w:val="0"/>
          <w:bCs w:val="0"/>
          <w:color w:val="auto"/>
          <w:sz w:val="32"/>
          <w:szCs w:val="32"/>
          <w:highlight w:val="none"/>
          <w:lang w:val="en-US" w:eastAsia="zh-CN"/>
        </w:rPr>
        <w:t>（二）持续打好生态环境质量改善持久战。</w:t>
      </w:r>
      <w:r>
        <w:rPr>
          <w:rFonts w:hint="eastAsia" w:ascii="仿宋_GB2312" w:hAnsi="仿宋_GB2312" w:eastAsia="仿宋_GB2312" w:cs="仿宋_GB2312"/>
          <w:b w:val="0"/>
          <w:bCs w:val="0"/>
          <w:color w:val="auto"/>
          <w:kern w:val="0"/>
          <w:sz w:val="32"/>
          <w:szCs w:val="32"/>
          <w:highlight w:val="none"/>
          <w:lang w:val="en-US" w:eastAsia="zh-CN" w:bidi="zh-CN"/>
        </w:rPr>
        <w:t>坚持大气常态化调度机制，</w:t>
      </w:r>
      <w:r>
        <w:rPr>
          <w:rFonts w:hint="eastAsia" w:ascii="Times New Roman" w:hAnsi="Times New Roman" w:eastAsia="仿宋_GB2312" w:cs="Times New Roman"/>
          <w:sz w:val="32"/>
          <w:szCs w:val="32"/>
          <w:lang w:val="en-US" w:eastAsia="zh-CN"/>
        </w:rPr>
        <w:t>建立快速响应机制</w:t>
      </w:r>
      <w:r>
        <w:rPr>
          <w:rFonts w:hint="eastAsia" w:ascii="仿宋_GB2312" w:hAnsi="仿宋_GB2312" w:eastAsia="仿宋_GB2312" w:cs="仿宋_GB2312"/>
          <w:b w:val="0"/>
          <w:bCs w:val="0"/>
          <w:color w:val="auto"/>
          <w:kern w:val="0"/>
          <w:sz w:val="32"/>
          <w:szCs w:val="32"/>
          <w:highlight w:val="none"/>
          <w:lang w:val="en-US" w:eastAsia="zh-CN" w:bidi="zh-CN"/>
        </w:rPr>
        <w:t>，加强污染过程应对。</w:t>
      </w:r>
      <w:r>
        <w:rPr>
          <w:rFonts w:hint="eastAsia" w:ascii="仿宋_GB2312" w:hAnsi="仿宋_GB2312" w:eastAsia="仿宋_GB2312" w:cs="仿宋_GB2312"/>
          <w:color w:val="auto"/>
          <w:sz w:val="32"/>
          <w:szCs w:val="32"/>
          <w:lang w:val="en-US" w:eastAsia="zh-CN"/>
        </w:rPr>
        <w:t>加快推进</w:t>
      </w:r>
      <w:r>
        <w:rPr>
          <w:rFonts w:hint="eastAsia" w:ascii="仿宋_GB2312" w:hAnsi="仿宋_GB2312" w:eastAsia="仿宋_GB2312" w:cs="仿宋_GB2312"/>
          <w:kern w:val="0"/>
          <w:sz w:val="32"/>
          <w:szCs w:val="32"/>
          <w:lang w:val="en-US" w:eastAsia="zh-CN" w:bidi="ar-SA"/>
        </w:rPr>
        <w:t>重点企业超低排放改造，</w:t>
      </w:r>
      <w:r>
        <w:rPr>
          <w:rFonts w:hint="eastAsia" w:ascii="仿宋_GB2312" w:hAnsi="仿宋_GB2312" w:eastAsia="仿宋_GB2312" w:cs="仿宋_GB2312"/>
          <w:sz w:val="32"/>
          <w:szCs w:val="32"/>
          <w:lang w:val="en-US" w:eastAsia="zh-CN"/>
        </w:rPr>
        <w:t>针对重点行业企业开展诊断帮扶</w:t>
      </w:r>
      <w:r>
        <w:rPr>
          <w:rFonts w:hint="eastAsia" w:ascii="仿宋_GB2312" w:hAnsi="仿宋_GB2312" w:eastAsia="仿宋_GB2312" w:cs="仿宋_GB2312"/>
          <w:b w:val="0"/>
          <w:bCs w:val="0"/>
          <w:snapToGrid w:val="0"/>
          <w:color w:val="auto"/>
          <w:kern w:val="0"/>
          <w:sz w:val="32"/>
          <w:szCs w:val="32"/>
          <w:highlight w:val="none"/>
          <w:shd w:val="clear" w:color="auto" w:fill="FFFFFF"/>
          <w:lang w:val="en-US" w:eastAsia="zh-CN"/>
        </w:rPr>
        <w:t>，</w:t>
      </w:r>
      <w:r>
        <w:rPr>
          <w:rFonts w:hint="default" w:ascii="仿宋_GB2312" w:hAnsi="仿宋_GB2312" w:eastAsia="仿宋_GB2312" w:cs="仿宋_GB2312"/>
          <w:b w:val="0"/>
          <w:bCs w:val="0"/>
          <w:snapToGrid w:val="0"/>
          <w:color w:val="auto"/>
          <w:kern w:val="0"/>
          <w:sz w:val="32"/>
          <w:szCs w:val="32"/>
          <w:highlight w:val="none"/>
          <w:shd w:val="clear" w:color="auto" w:fill="FFFFFF"/>
          <w:lang w:val="en-US" w:eastAsia="zh-CN"/>
        </w:rPr>
        <w:t>推动</w:t>
      </w:r>
      <w:r>
        <w:rPr>
          <w:rFonts w:hint="eastAsia" w:ascii="仿宋_GB2312" w:hAnsi="仿宋_GB2312" w:eastAsia="仿宋_GB2312" w:cs="仿宋_GB2312"/>
          <w:b w:val="0"/>
          <w:bCs w:val="0"/>
          <w:snapToGrid w:val="0"/>
          <w:color w:val="auto"/>
          <w:kern w:val="0"/>
          <w:sz w:val="32"/>
          <w:szCs w:val="32"/>
          <w:highlight w:val="none"/>
          <w:shd w:val="clear" w:color="auto" w:fill="FFFFFF"/>
          <w:lang w:val="en-US" w:eastAsia="zh-CN"/>
        </w:rPr>
        <w:t>企业</w:t>
      </w:r>
      <w:r>
        <w:rPr>
          <w:rFonts w:hint="default" w:ascii="仿宋_GB2312" w:hAnsi="仿宋_GB2312" w:eastAsia="仿宋_GB2312" w:cs="仿宋_GB2312"/>
          <w:b w:val="0"/>
          <w:bCs w:val="0"/>
          <w:snapToGrid w:val="0"/>
          <w:color w:val="auto"/>
          <w:kern w:val="0"/>
          <w:sz w:val="32"/>
          <w:szCs w:val="32"/>
          <w:highlight w:val="none"/>
          <w:shd w:val="clear" w:color="auto" w:fill="FFFFFF"/>
          <w:lang w:val="en-US" w:eastAsia="zh-CN"/>
        </w:rPr>
        <w:t>大气污染治理</w:t>
      </w:r>
      <w:r>
        <w:rPr>
          <w:rFonts w:hint="eastAsia" w:ascii="仿宋_GB2312" w:hAnsi="仿宋_GB2312" w:eastAsia="仿宋_GB2312" w:cs="仿宋_GB2312"/>
          <w:b w:val="0"/>
          <w:bCs w:val="0"/>
          <w:snapToGrid w:val="0"/>
          <w:color w:val="auto"/>
          <w:kern w:val="0"/>
          <w:sz w:val="32"/>
          <w:szCs w:val="32"/>
          <w:highlight w:val="none"/>
          <w:shd w:val="clear" w:color="auto" w:fill="FFFFFF"/>
          <w:lang w:val="en-US" w:eastAsia="zh-CN"/>
        </w:rPr>
        <w:t>水平提升。</w:t>
      </w:r>
      <w:r>
        <w:rPr>
          <w:rFonts w:hint="eastAsia" w:ascii="仿宋_GB2312" w:hAnsi="仿宋_GB2312" w:eastAsia="仿宋_GB2312" w:cs="仿宋_GB2312"/>
          <w:color w:val="000000"/>
          <w:spacing w:val="0"/>
          <w:kern w:val="0"/>
          <w:sz w:val="32"/>
          <w:szCs w:val="32"/>
          <w:highlight w:val="none"/>
          <w:lang w:val="en-US" w:eastAsia="zh-CN"/>
        </w:rPr>
        <w:t>加大秸秆禁烧、烟花爆竹禁放、餐饮油烟、移动源污染治理工作力度，提高精细化管控水平。</w:t>
      </w:r>
      <w:r>
        <w:rPr>
          <w:rFonts w:hint="eastAsia" w:ascii="仿宋_GB2312" w:hAnsi="仿宋_GB2312" w:eastAsia="仿宋_GB2312" w:cs="仿宋_GB2312"/>
          <w:b w:val="0"/>
          <w:bCs w:val="0"/>
          <w:color w:val="000000"/>
          <w:kern w:val="2"/>
          <w:sz w:val="32"/>
          <w:szCs w:val="32"/>
          <w:lang w:val="en-US" w:eastAsia="zh-CN" w:bidi="ar-SA"/>
        </w:rPr>
        <w:t>加强国控、省控断面水质监测预警，</w:t>
      </w:r>
      <w:r>
        <w:rPr>
          <w:rFonts w:hint="eastAsia" w:ascii="仿宋_GB2312" w:hAnsi="仿宋_GB2312" w:eastAsia="仿宋_GB2312" w:cs="仿宋_GB2312"/>
          <w:color w:val="auto"/>
          <w:sz w:val="32"/>
          <w:szCs w:val="32"/>
          <w:lang w:val="en-US" w:eastAsia="zh-CN"/>
        </w:rPr>
        <w:t>确保</w:t>
      </w:r>
      <w:r>
        <w:rPr>
          <w:rFonts w:hint="eastAsia" w:ascii="仿宋_GB2312" w:hAnsi="仿宋_GB2312" w:eastAsia="仿宋_GB2312" w:cs="仿宋_GB2312"/>
          <w:b w:val="0"/>
          <w:bCs w:val="0"/>
          <w:color w:val="000000"/>
          <w:kern w:val="2"/>
          <w:sz w:val="32"/>
          <w:szCs w:val="32"/>
          <w:lang w:val="en-US" w:eastAsia="zh-CN" w:bidi="ar-SA"/>
        </w:rPr>
        <w:t>断面水质稳定</w:t>
      </w:r>
      <w:r>
        <w:rPr>
          <w:rFonts w:hint="eastAsia" w:ascii="仿宋_GB2312" w:hAnsi="仿宋_GB2312" w:eastAsia="仿宋_GB2312" w:cs="仿宋_GB2312"/>
          <w:b w:val="0"/>
          <w:bCs w:val="0"/>
          <w:color w:val="000000"/>
          <w:kern w:val="2"/>
          <w:sz w:val="32"/>
          <w:szCs w:val="32"/>
          <w:highlight w:val="none"/>
          <w:lang w:val="en-US" w:eastAsia="zh-CN" w:bidi="ar-SA"/>
        </w:rPr>
        <w:t>达标</w:t>
      </w:r>
      <w:r>
        <w:rPr>
          <w:rFonts w:hint="eastAsia"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000000"/>
          <w:sz w:val="32"/>
          <w:szCs w:val="32"/>
          <w:lang w:val="en-US" w:eastAsia="zh-CN"/>
        </w:rPr>
        <w:t>严</w:t>
      </w:r>
      <w:r>
        <w:rPr>
          <w:rFonts w:hint="eastAsia" w:ascii="仿宋_GB2312" w:hAnsi="仿宋_GB2312" w:eastAsia="仿宋_GB2312" w:cs="仿宋_GB2312"/>
          <w:color w:val="000000"/>
          <w:spacing w:val="-6"/>
          <w:sz w:val="32"/>
          <w:szCs w:val="32"/>
          <w:lang w:val="en-US" w:eastAsia="zh-CN"/>
        </w:rPr>
        <w:t>格“一住两公”建设用地准入管理，持续推进农村环境整治。</w:t>
      </w:r>
      <w:r>
        <w:rPr>
          <w:rFonts w:hint="eastAsia" w:ascii="仿宋_GB2312" w:hAnsi="仿宋_GB2312" w:eastAsia="仿宋_GB2312" w:cs="仿宋_GB2312"/>
          <w:b w:val="0"/>
          <w:bCs w:val="0"/>
          <w:color w:val="000000"/>
          <w:spacing w:val="-6"/>
          <w:kern w:val="2"/>
          <w:sz w:val="32"/>
          <w:szCs w:val="32"/>
          <w:highlight w:val="none"/>
          <w:lang w:val="en-US" w:eastAsia="zh-CN" w:bidi="ar-SA"/>
        </w:rPr>
        <w:t>深化“无废城市”建设，新增一批“无废细胞”示范点；加强危险废物全过程监管，确保危险废物规范化环境管理评估通过率持续提升。</w:t>
      </w:r>
    </w:p>
    <w:p w14:paraId="224827CE">
      <w:pPr>
        <w:keepNext w:val="0"/>
        <w:keepLines w:val="0"/>
        <w:pageBreakBefore w:val="0"/>
        <w:widowControl w:val="0"/>
        <w:numPr>
          <w:ilvl w:val="0"/>
          <w:numId w:val="0"/>
        </w:numPr>
        <w:kinsoku/>
        <w:wordWrap/>
        <w:overflowPunct w:val="0"/>
        <w:topLinePunct w:val="0"/>
        <w:autoSpaceDE/>
        <w:autoSpaceDN/>
        <w:bidi w:val="0"/>
        <w:adjustRightInd/>
        <w:snapToGrid/>
        <w:spacing w:line="580" w:lineRule="exact"/>
        <w:ind w:firstLine="640" w:firstLineChars="200"/>
        <w:jc w:val="both"/>
        <w:textAlignment w:val="auto"/>
        <w:outlineLvl w:val="9"/>
        <w:rPr>
          <w:rFonts w:hint="eastAsia" w:ascii="仿宋_GB2312" w:hAnsi="仿宋_GB2312" w:eastAsia="仿宋_GB2312" w:cs="仿宋_GB2312"/>
          <w:b w:val="0"/>
          <w:bCs/>
          <w:color w:val="000000"/>
          <w:kern w:val="0"/>
          <w:sz w:val="32"/>
          <w:szCs w:val="32"/>
          <w:lang w:val="en-US" w:eastAsia="zh-CN" w:bidi="ar"/>
        </w:rPr>
      </w:pPr>
      <w:r>
        <w:rPr>
          <w:rFonts w:hint="eastAsia" w:ascii="Times New Roman" w:hAnsi="Times New Roman" w:eastAsia="楷体_GB2312" w:cs="Times New Roman"/>
          <w:b w:val="0"/>
          <w:bCs w:val="0"/>
          <w:color w:val="auto"/>
          <w:kern w:val="2"/>
          <w:sz w:val="32"/>
          <w:szCs w:val="32"/>
          <w:highlight w:val="none"/>
          <w:lang w:val="en-US" w:eastAsia="zh-CN" w:bidi="ar-SA"/>
        </w:rPr>
        <w:t>（三）系统推进全域生态环境保护修复。</w:t>
      </w:r>
      <w:r>
        <w:rPr>
          <w:rFonts w:hint="eastAsia" w:ascii="Times New Roman" w:hAnsi="Times New Roman" w:eastAsia="仿宋_GB2312" w:cs="Times New Roman"/>
          <w:bCs/>
          <w:kern w:val="2"/>
          <w:sz w:val="32"/>
          <w:szCs w:val="32"/>
          <w:lang w:val="en-US" w:eastAsia="zh-CN" w:bidi="zh-CN"/>
        </w:rPr>
        <w:t>持续</w:t>
      </w:r>
      <w:r>
        <w:rPr>
          <w:rFonts w:hint="eastAsia" w:ascii="仿宋_GB2312" w:hAnsi="仿宋_GB2312" w:eastAsia="仿宋_GB2312" w:cs="仿宋_GB2312"/>
          <w:spacing w:val="0"/>
          <w:sz w:val="32"/>
          <w:szCs w:val="32"/>
          <w:u w:val="none"/>
          <w:lang w:val="zh-CN"/>
        </w:rPr>
        <w:t>推进长江岸线生态修复，</w:t>
      </w:r>
      <w:r>
        <w:rPr>
          <w:rFonts w:hint="eastAsia" w:ascii="仿宋_GB2312" w:hAnsi="仿宋_GB2312" w:eastAsia="仿宋_GB2312" w:cs="仿宋_GB2312"/>
          <w:spacing w:val="0"/>
          <w:sz w:val="32"/>
          <w:szCs w:val="32"/>
          <w:u w:val="none"/>
          <w:lang w:val="en-US" w:eastAsia="zh-CN"/>
        </w:rPr>
        <w:t>坚定不移</w:t>
      </w:r>
      <w:r>
        <w:rPr>
          <w:rFonts w:hint="eastAsia" w:ascii="仿宋_GB2312" w:hAnsi="仿宋_GB2312" w:eastAsia="仿宋_GB2312" w:cs="仿宋_GB2312"/>
          <w:spacing w:val="0"/>
          <w:sz w:val="32"/>
          <w:szCs w:val="32"/>
          <w:u w:val="none"/>
        </w:rPr>
        <w:t>抓实长江“十年禁渔”</w:t>
      </w:r>
      <w:r>
        <w:rPr>
          <w:rFonts w:hint="eastAsia" w:ascii="仿宋_GB2312" w:hAnsi="仿宋_GB2312" w:eastAsia="仿宋_GB2312" w:cs="仿宋_GB2312"/>
          <w:spacing w:val="0"/>
          <w:sz w:val="32"/>
          <w:szCs w:val="32"/>
          <w:u w:val="none"/>
          <w:lang w:val="zh-CN"/>
        </w:rPr>
        <w:t>，</w:t>
      </w:r>
      <w:r>
        <w:rPr>
          <w:rFonts w:hint="eastAsia" w:ascii="Times New Roman" w:hAnsi="Times New Roman" w:eastAsia="仿宋_GB2312" w:cs="Times New Roman"/>
          <w:color w:val="000000"/>
          <w:sz w:val="32"/>
          <w:szCs w:val="32"/>
          <w:lang w:val="en-US" w:eastAsia="zh-CN"/>
        </w:rPr>
        <w:t>严格执行长江经济带发展负面清单管理制度，坚决落实长江干支流岸线一公里范围管控线“禁新建”要求。</w:t>
      </w:r>
      <w:r>
        <w:rPr>
          <w:rFonts w:hint="eastAsia" w:ascii="仿宋_GB2312" w:hAnsi="仿宋_GB2312" w:eastAsia="仿宋_GB2312" w:cs="仿宋_GB2312"/>
          <w:color w:val="000000"/>
          <w:sz w:val="32"/>
          <w:szCs w:val="32"/>
          <w:lang w:val="en-US" w:eastAsia="zh-CN"/>
        </w:rPr>
        <w:t>加强自然保护地建设和</w:t>
      </w:r>
      <w:r>
        <w:rPr>
          <w:rFonts w:hint="eastAsia" w:ascii="仿宋_GB2312" w:hAnsi="仿宋_GB2312" w:eastAsia="仿宋_GB2312" w:cs="仿宋_GB2312"/>
          <w:spacing w:val="0"/>
          <w:sz w:val="32"/>
          <w:szCs w:val="32"/>
          <w:u w:val="none"/>
          <w:lang w:val="en-US" w:eastAsia="zh-CN"/>
        </w:rPr>
        <w:t>管理</w:t>
      </w:r>
      <w:r>
        <w:rPr>
          <w:rFonts w:hint="eastAsia" w:ascii="仿宋_GB2312" w:hAnsi="仿宋_GB2312" w:eastAsia="仿宋_GB2312" w:cs="仿宋_GB2312"/>
          <w:spacing w:val="0"/>
          <w:sz w:val="32"/>
          <w:szCs w:val="32"/>
          <w:u w:val="none"/>
          <w:lang w:val="en" w:eastAsia="zh-CN"/>
        </w:rPr>
        <w:t>，</w:t>
      </w:r>
      <w:r>
        <w:rPr>
          <w:rFonts w:hint="eastAsia" w:ascii="仿宋_GB2312" w:hAnsi="仿宋_GB2312" w:eastAsia="仿宋_GB2312" w:cs="仿宋_GB2312"/>
          <w:spacing w:val="0"/>
          <w:sz w:val="32"/>
          <w:szCs w:val="32"/>
          <w:u w:val="none"/>
          <w:lang w:val="en-US" w:eastAsia="zh-CN"/>
        </w:rPr>
        <w:t>持续推进自然保护地管理提标严管，依法打击各类破坏自然保护地和湿地生态环境行为。</w:t>
      </w:r>
      <w:r>
        <w:rPr>
          <w:rFonts w:hint="eastAsia" w:ascii="仿宋_GB2312" w:hAnsi="仿宋_GB2312" w:eastAsia="仿宋_GB2312" w:cs="仿宋_GB2312"/>
          <w:color w:val="auto"/>
          <w:kern w:val="0"/>
          <w:sz w:val="32"/>
          <w:szCs w:val="32"/>
          <w:lang w:val="en-US" w:eastAsia="zh-CN" w:bidi="ar"/>
        </w:rPr>
        <w:t>严守矿山安全底线和生态保护红线，持续推进矿山整合关闭、矿山生态修复</w:t>
      </w:r>
      <w:r>
        <w:rPr>
          <w:rFonts w:hint="eastAsia" w:ascii="仿宋_GB2312" w:hAnsi="仿宋_GB2312" w:eastAsia="仿宋_GB2312" w:cs="仿宋_GB2312"/>
          <w:color w:val="auto"/>
          <w:sz w:val="32"/>
          <w:szCs w:val="32"/>
          <w:lang w:val="en-US" w:eastAsia="zh-CN"/>
        </w:rPr>
        <w:t>、绿色运输体系构建等重点工作。</w:t>
      </w:r>
    </w:p>
    <w:p w14:paraId="4E65FCA1">
      <w:pPr>
        <w:keepNext w:val="0"/>
        <w:keepLines w:val="0"/>
        <w:pageBreakBefore w:val="0"/>
        <w:widowControl w:val="0"/>
        <w:numPr>
          <w:ilvl w:val="-1"/>
          <w:numId w:val="0"/>
        </w:numPr>
        <w:kinsoku/>
        <w:wordWrap/>
        <w:overflowPunct w:val="0"/>
        <w:topLinePunct w:val="0"/>
        <w:autoSpaceDE/>
        <w:autoSpaceDN/>
        <w:bidi w:val="0"/>
        <w:adjustRightInd/>
        <w:snapToGrid/>
        <w:spacing w:line="580" w:lineRule="exact"/>
        <w:ind w:firstLine="640" w:firstLineChars="200"/>
        <w:jc w:val="both"/>
        <w:textAlignment w:val="auto"/>
        <w:outlineLvl w:val="9"/>
        <w:rPr>
          <w:rFonts w:hint="eastAsia" w:ascii="Times New Roman" w:hAnsi="Times New Roman" w:eastAsia="楷体_GB2312" w:cs="Times New Roman"/>
          <w:b w:val="0"/>
          <w:bCs w:val="0"/>
          <w:color w:val="auto"/>
          <w:kern w:val="2"/>
          <w:sz w:val="32"/>
          <w:szCs w:val="32"/>
          <w:highlight w:val="none"/>
          <w:lang w:val="en-US" w:eastAsia="zh-CN" w:bidi="ar-SA"/>
        </w:rPr>
      </w:pPr>
      <w:r>
        <w:rPr>
          <w:rFonts w:hint="eastAsia" w:ascii="Times New Roman" w:hAnsi="Times New Roman" w:eastAsia="楷体_GB2312" w:cs="Times New Roman"/>
          <w:b w:val="0"/>
          <w:bCs w:val="0"/>
          <w:color w:val="auto"/>
          <w:kern w:val="2"/>
          <w:sz w:val="32"/>
          <w:szCs w:val="32"/>
          <w:highlight w:val="none"/>
          <w:lang w:val="en-US" w:eastAsia="zh-CN" w:bidi="ar-SA"/>
        </w:rPr>
        <w:t>（四）坚决筑牢守牢生态环境安全底线。</w:t>
      </w:r>
      <w:r>
        <w:rPr>
          <w:rFonts w:hint="eastAsia" w:ascii="仿宋_GB2312" w:hAnsi="仿宋_GB2312" w:eastAsia="仿宋_GB2312" w:cs="仿宋_GB2312"/>
          <w:b w:val="0"/>
          <w:bCs w:val="0"/>
          <w:color w:val="000000"/>
          <w:spacing w:val="0"/>
          <w:kern w:val="2"/>
          <w:sz w:val="32"/>
          <w:szCs w:val="32"/>
          <w:u w:val="none"/>
          <w:lang w:val="en-US" w:eastAsia="zh-CN" w:bidi="ar-SA"/>
        </w:rPr>
        <w:t>进一</w:t>
      </w:r>
      <w:r>
        <w:rPr>
          <w:rFonts w:hint="eastAsia" w:ascii="仿宋_GB2312" w:hAnsi="仿宋_GB2312" w:eastAsia="仿宋_GB2312" w:cs="仿宋_GB2312"/>
          <w:b w:val="0"/>
          <w:bCs w:val="0"/>
          <w:color w:val="000000"/>
          <w:kern w:val="2"/>
          <w:sz w:val="32"/>
          <w:szCs w:val="32"/>
          <w:lang w:val="en-US" w:eastAsia="zh-CN" w:bidi="ar-SA"/>
        </w:rPr>
        <w:t>步强化环境风险意识，</w:t>
      </w:r>
      <w:r>
        <w:rPr>
          <w:rFonts w:hint="eastAsia" w:ascii="仿宋_GB2312" w:hAnsi="仿宋_GB2312" w:eastAsia="仿宋_GB2312" w:cs="仿宋_GB2312"/>
          <w:b w:val="0"/>
          <w:bCs w:val="0"/>
          <w:kern w:val="2"/>
          <w:sz w:val="32"/>
          <w:szCs w:val="32"/>
          <w:lang w:val="en-US" w:eastAsia="zh-CN" w:bidi="ar-SA"/>
        </w:rPr>
        <w:t>严格落实生态环境领域风险隐患排查整治工作制度，</w:t>
      </w:r>
      <w:r>
        <w:rPr>
          <w:rFonts w:hint="eastAsia" w:ascii="仿宋_GB2312" w:hAnsi="仿宋_GB2312" w:eastAsia="仿宋_GB2312" w:cs="仿宋_GB2312"/>
          <w:b w:val="0"/>
          <w:bCs w:val="0"/>
          <w:color w:val="000000"/>
          <w:kern w:val="2"/>
          <w:sz w:val="32"/>
          <w:szCs w:val="32"/>
          <w:lang w:val="en-US" w:eastAsia="zh-CN" w:bidi="ar-SA"/>
        </w:rPr>
        <w:t>加强环境预警预测和溯源分析，建立健全信息共享和协同联动机制，完善生态环境应急响应体系，积极应对突发环境事件。高质量完成“一园一策一图”省级试点工作，切实提升重点领域环境风险防控能力。</w:t>
      </w:r>
      <w:r>
        <w:rPr>
          <w:rFonts w:hint="eastAsia" w:ascii="仿宋_GB2312" w:hAnsi="仿宋_GB2312" w:eastAsia="仿宋_GB2312" w:cs="仿宋_GB2312"/>
          <w:b w:val="0"/>
          <w:bCs w:val="0"/>
          <w:kern w:val="2"/>
          <w:sz w:val="32"/>
          <w:szCs w:val="32"/>
          <w:lang w:val="en-US" w:eastAsia="zh-CN" w:bidi="ar-SA"/>
        </w:rPr>
        <w:t>深入推进群众“家门口”生态环境问题整治，</w:t>
      </w:r>
      <w:r>
        <w:rPr>
          <w:rFonts w:hint="eastAsia" w:ascii="Times New Roman" w:hAnsi="Times New Roman" w:eastAsia="仿宋_GB2312" w:cs="Times New Roman"/>
          <w:b w:val="0"/>
          <w:bCs w:val="0"/>
          <w:color w:val="0D0D0D"/>
          <w:kern w:val="2"/>
          <w:sz w:val="32"/>
          <w:szCs w:val="32"/>
          <w:highlight w:val="none"/>
          <w:u w:val="none"/>
          <w:shd w:val="clear" w:color="auto" w:fill="auto"/>
          <w:lang w:val="en-US" w:eastAsia="zh-CN" w:bidi="zh-TW"/>
        </w:rPr>
        <w:t>积极稳妥解决群众生态环境诉求。</w:t>
      </w:r>
    </w:p>
    <w:p w14:paraId="797B6051">
      <w:pPr>
        <w:keepNext w:val="0"/>
        <w:keepLines w:val="0"/>
        <w:pageBreakBefore w:val="0"/>
        <w:widowControl w:val="0"/>
        <w:numPr>
          <w:ilvl w:val="0"/>
          <w:numId w:val="0"/>
        </w:numPr>
        <w:kinsoku/>
        <w:wordWrap/>
        <w:overflowPunct w:val="0"/>
        <w:topLinePunct w:val="0"/>
        <w:autoSpaceDE/>
        <w:autoSpaceDN/>
        <w:bidi w:val="0"/>
        <w:adjustRightInd/>
        <w:snapToGrid/>
        <w:spacing w:beforeLines="0" w:afterLines="0" w:line="580" w:lineRule="exact"/>
        <w:ind w:firstLine="640" w:firstLineChars="200"/>
        <w:jc w:val="both"/>
        <w:textAlignment w:val="auto"/>
        <w:outlineLvl w:val="9"/>
        <w:rPr>
          <w:rFonts w:hint="eastAsia" w:ascii="仿宋_GB2312" w:hAnsi="仿宋_GB2312" w:eastAsia="仿宋_GB2312" w:cs="仿宋_GB2312"/>
          <w:color w:val="auto"/>
          <w:kern w:val="2"/>
          <w:sz w:val="32"/>
          <w:szCs w:val="32"/>
          <w:lang w:val="en-US" w:eastAsia="zh-CN" w:bidi="ar-SA"/>
        </w:rPr>
      </w:pPr>
      <w:r>
        <w:rPr>
          <w:rFonts w:hint="eastAsia" w:ascii="Times New Roman" w:hAnsi="Times New Roman" w:eastAsia="楷体_GB2312" w:cs="Times New Roman"/>
          <w:b w:val="0"/>
          <w:bCs w:val="0"/>
          <w:color w:val="auto"/>
          <w:kern w:val="2"/>
          <w:sz w:val="32"/>
          <w:szCs w:val="32"/>
          <w:highlight w:val="none"/>
          <w:lang w:val="en-US" w:eastAsia="zh-CN" w:bidi="ar-SA"/>
        </w:rPr>
        <w:t>（五）助力生态高颜值和发展高质量协同并进。</w:t>
      </w:r>
      <w:r>
        <w:rPr>
          <w:rFonts w:hint="eastAsia" w:ascii="仿宋_GB2312" w:hAnsi="仿宋_GB2312" w:eastAsia="仿宋_GB2312" w:cs="仿宋_GB2312"/>
          <w:color w:val="auto"/>
          <w:sz w:val="32"/>
          <w:szCs w:val="32"/>
          <w:lang w:val="en-US" w:eastAsia="zh-CN"/>
        </w:rPr>
        <w:t>深化排污权交易改革，加强环境要素保障，优先支持战略性新兴产业发展。坚决遏制“两高一低”项目盲目发展。继续开展重点项目环评审批跟踪调度制度，主动服务重大项目、重点企业。鼓励公众参与监督举报，切实维护群众环境权益。</w:t>
      </w:r>
      <w:r>
        <w:rPr>
          <w:rFonts w:hint="eastAsia" w:ascii="仿宋_GB2312" w:hAnsi="仿宋_GB2312" w:eastAsia="仿宋_GB2312" w:cs="仿宋_GB2312"/>
          <w:color w:val="auto"/>
          <w:kern w:val="2"/>
          <w:sz w:val="32"/>
          <w:szCs w:val="32"/>
          <w:lang w:val="en-US" w:eastAsia="zh-CN" w:bidi="ar-SA"/>
        </w:rPr>
        <w:t>以世界环境日、全国生态日等重要节点为契机，</w:t>
      </w:r>
      <w:r>
        <w:rPr>
          <w:rFonts w:hint="eastAsia" w:ascii="仿宋_GB2312" w:hAnsi="仿宋_GB2312" w:eastAsia="仿宋_GB2312" w:cs="仿宋_GB2312"/>
          <w:color w:val="auto"/>
          <w:sz w:val="32"/>
          <w:szCs w:val="32"/>
          <w:lang w:val="en-US" w:eastAsia="zh-CN"/>
        </w:rPr>
        <w:t>加强生态文明宣传，创新公众参与机制，推进生态产品价值实现，激发全社会生态文明建设和生态环境保护的内生动力。</w:t>
      </w:r>
    </w:p>
    <w:p w14:paraId="486053AA">
      <w:pPr>
        <w:keepNext w:val="0"/>
        <w:keepLines w:val="0"/>
        <w:pageBreakBefore w:val="0"/>
        <w:widowControl w:val="0"/>
        <w:numPr>
          <w:ilvl w:val="0"/>
          <w:numId w:val="0"/>
        </w:numPr>
        <w:kinsoku/>
        <w:wordWrap/>
        <w:overflowPunct w:val="0"/>
        <w:topLinePunct w:val="0"/>
        <w:autoSpaceDE/>
        <w:autoSpaceDN/>
        <w:bidi w:val="0"/>
        <w:adjustRightInd/>
        <w:snapToGrid/>
        <w:spacing w:line="580" w:lineRule="exact"/>
        <w:ind w:firstLine="640" w:firstLineChars="200"/>
        <w:jc w:val="both"/>
        <w:textAlignment w:val="auto"/>
        <w:outlineLvl w:val="9"/>
        <w:rPr>
          <w:rFonts w:hint="eastAsia" w:ascii="仿宋_GB2312" w:hAnsi="仿宋_GB2312" w:eastAsia="仿宋_GB2312" w:cs="仿宋_GB2312"/>
          <w:color w:val="auto"/>
          <w:sz w:val="32"/>
          <w:szCs w:val="32"/>
          <w:lang w:val="en-US" w:eastAsia="zh-CN"/>
        </w:rPr>
      </w:pPr>
    </w:p>
    <w:p w14:paraId="7609602F">
      <w:pPr>
        <w:pStyle w:val="2"/>
        <w:rPr>
          <w:rFonts w:hint="eastAsia" w:ascii="仿宋_GB2312" w:hAnsi="仿宋_GB2312" w:eastAsia="仿宋_GB2312" w:cs="仿宋_GB2312"/>
          <w:color w:val="auto"/>
          <w:sz w:val="32"/>
          <w:szCs w:val="32"/>
          <w:lang w:val="en-US" w:eastAsia="zh-CN"/>
        </w:rPr>
      </w:pPr>
    </w:p>
    <w:p w14:paraId="1414A233">
      <w:pPr>
        <w:pStyle w:val="2"/>
        <w:rPr>
          <w:rFonts w:hint="eastAsia" w:ascii="仿宋_GB2312" w:hAnsi="仿宋_GB2312" w:eastAsia="仿宋_GB2312" w:cs="仿宋_GB2312"/>
          <w:color w:val="auto"/>
          <w:sz w:val="32"/>
          <w:szCs w:val="32"/>
          <w:lang w:val="en-US" w:eastAsia="zh-CN"/>
        </w:rPr>
      </w:pPr>
    </w:p>
    <w:p w14:paraId="1D47DC0E">
      <w:pPr>
        <w:pStyle w:val="2"/>
        <w:rPr>
          <w:rFonts w:hint="eastAsia" w:ascii="仿宋_GB2312" w:hAnsi="仿宋_GB2312" w:eastAsia="仿宋_GB2312" w:cs="仿宋_GB2312"/>
          <w:color w:val="auto"/>
          <w:sz w:val="32"/>
          <w:szCs w:val="32"/>
          <w:lang w:val="en-US" w:eastAsia="zh-CN"/>
        </w:rPr>
      </w:pPr>
    </w:p>
    <w:p w14:paraId="3B7EFC2B">
      <w:pPr>
        <w:keepNext w:val="0"/>
        <w:keepLines w:val="0"/>
        <w:pageBreakBefore w:val="0"/>
        <w:widowControl w:val="0"/>
        <w:kinsoku/>
        <w:wordWrap/>
        <w:overflowPunct w:val="0"/>
        <w:topLinePunct w:val="0"/>
        <w:autoSpaceDE/>
        <w:autoSpaceDN/>
        <w:bidi w:val="0"/>
        <w:adjustRightInd/>
        <w:snapToGrid/>
        <w:spacing w:line="580" w:lineRule="exact"/>
        <w:ind w:left="1598" w:leftChars="304" w:hanging="960" w:hangingChars="300"/>
        <w:jc w:val="both"/>
        <w:textAlignment w:val="auto"/>
        <w:outlineLvl w:val="9"/>
        <w:rPr>
          <w:rFonts w:hint="eastAsia" w:ascii="仿宋_GB2312" w:eastAsia="仿宋_GB2312" w:cs="Times New Roman"/>
          <w:kern w:val="2"/>
          <w:sz w:val="32"/>
          <w:szCs w:val="32"/>
          <w:lang w:val="en-US" w:eastAsia="zh-CN" w:bidi="ar-SA"/>
        </w:rPr>
      </w:pPr>
      <w:r>
        <w:rPr>
          <w:rFonts w:hint="eastAsia" w:ascii="仿宋_GB2312" w:eastAsia="仿宋_GB2312" w:cs="Times New Roman"/>
          <w:kern w:val="2"/>
          <w:sz w:val="32"/>
          <w:szCs w:val="32"/>
          <w:lang w:val="en-US" w:eastAsia="zh-CN" w:bidi="ar-SA"/>
        </w:rPr>
        <w:t>附件：1.</w:t>
      </w:r>
      <w:r>
        <w:rPr>
          <w:rFonts w:hint="eastAsia" w:ascii="仿宋_GB2312" w:hAnsi="仿宋_GB2312" w:eastAsia="仿宋_GB2312" w:cs="Times New Roman"/>
          <w:color w:val="000000"/>
          <w:spacing w:val="-11"/>
          <w:kern w:val="2"/>
          <w:sz w:val="32"/>
          <w:szCs w:val="32"/>
          <w:lang w:val="en-US" w:eastAsia="zh-CN" w:bidi="ar-SA"/>
        </w:rPr>
        <w:t>池</w:t>
      </w:r>
      <w:r>
        <w:rPr>
          <w:rFonts w:hint="eastAsia" w:ascii="仿宋_GB2312" w:hAnsi="仿宋_GB2312" w:eastAsia="仿宋_GB2312" w:cs="Times New Roman"/>
          <w:color w:val="000000"/>
          <w:spacing w:val="0"/>
          <w:kern w:val="2"/>
          <w:sz w:val="32"/>
          <w:szCs w:val="32"/>
          <w:lang w:val="en-US" w:eastAsia="zh-CN" w:bidi="ar-SA"/>
        </w:rPr>
        <w:t>州市第三轮省生态环境保护督察反馈问题整改进展情况</w:t>
      </w:r>
    </w:p>
    <w:p w14:paraId="40875E95">
      <w:pPr>
        <w:keepNext w:val="0"/>
        <w:keepLines w:val="0"/>
        <w:pageBreakBefore w:val="0"/>
        <w:widowControl w:val="0"/>
        <w:kinsoku/>
        <w:wordWrap/>
        <w:overflowPunct w:val="0"/>
        <w:topLinePunct w:val="0"/>
        <w:autoSpaceDE/>
        <w:autoSpaceDN/>
        <w:bidi w:val="0"/>
        <w:adjustRightInd/>
        <w:snapToGrid/>
        <w:spacing w:line="580" w:lineRule="exact"/>
        <w:ind w:left="1596" w:leftChars="760" w:firstLine="0" w:firstLineChars="0"/>
        <w:jc w:val="both"/>
        <w:textAlignment w:val="auto"/>
        <w:outlineLvl w:val="9"/>
        <w:rPr>
          <w:rFonts w:hint="default" w:ascii="仿宋_GB2312" w:eastAsia="仿宋_GB2312" w:cs="Times New Roman"/>
          <w:spacing w:val="-6"/>
          <w:kern w:val="2"/>
          <w:sz w:val="32"/>
          <w:szCs w:val="32"/>
          <w:lang w:val="en-US" w:eastAsia="zh-CN" w:bidi="ar-SA"/>
        </w:rPr>
      </w:pPr>
      <w:r>
        <w:rPr>
          <w:rFonts w:hint="eastAsia" w:ascii="仿宋_GB2312" w:eastAsia="仿宋_GB2312" w:cs="Times New Roman"/>
          <w:kern w:val="2"/>
          <w:sz w:val="32"/>
          <w:szCs w:val="32"/>
          <w:lang w:val="en-US" w:eastAsia="zh-CN" w:bidi="ar-SA"/>
        </w:rPr>
        <w:t>2.</w:t>
      </w:r>
      <w:r>
        <w:rPr>
          <w:rFonts w:hint="eastAsia" w:ascii="仿宋_GB2312" w:hAnsi="仿宋_GB2312" w:eastAsia="仿宋_GB2312" w:cs="Times New Roman"/>
          <w:color w:val="000000"/>
          <w:spacing w:val="-11"/>
          <w:kern w:val="2"/>
          <w:sz w:val="32"/>
          <w:szCs w:val="32"/>
          <w:lang w:val="en-US" w:eastAsia="zh-CN" w:bidi="ar-SA"/>
        </w:rPr>
        <w:t>池州市第三轮省生态环境保护督察移交责任追究问题追责问责情况</w:t>
      </w:r>
    </w:p>
    <w:p w14:paraId="1DCAD0F9">
      <w:pPr>
        <w:pStyle w:val="9"/>
        <w:keepNext w:val="0"/>
        <w:keepLines w:val="0"/>
        <w:pageBreakBefore w:val="0"/>
        <w:widowControl w:val="0"/>
        <w:kinsoku/>
        <w:wordWrap/>
        <w:overflowPunct w:val="0"/>
        <w:topLinePunct w:val="0"/>
        <w:autoSpaceDE/>
        <w:autoSpaceDN/>
        <w:bidi w:val="0"/>
        <w:spacing w:line="580" w:lineRule="exact"/>
        <w:ind w:firstLine="640" w:firstLineChars="200"/>
        <w:jc w:val="both"/>
        <w:textAlignment w:val="auto"/>
        <w:rPr>
          <w:rFonts w:hint="default"/>
          <w:sz w:val="32"/>
          <w:szCs w:val="32"/>
          <w:lang w:val="en-US" w:eastAsia="zh-CN"/>
        </w:rPr>
        <w:sectPr>
          <w:footerReference r:id="rId3" w:type="default"/>
          <w:pgSz w:w="11906" w:h="16838"/>
          <w:pgMar w:top="1701" w:right="1474" w:bottom="1587" w:left="1587" w:header="851" w:footer="1361" w:gutter="0"/>
          <w:pgNumType w:fmt="decimal"/>
          <w:cols w:space="0" w:num="1"/>
          <w:docGrid w:type="lines" w:linePitch="312" w:charSpace="0"/>
        </w:sectPr>
      </w:pPr>
    </w:p>
    <w:p w14:paraId="34B4448A">
      <w:pPr>
        <w:keepNext w:val="0"/>
        <w:keepLines w:val="0"/>
        <w:pageBreakBefore w:val="0"/>
        <w:widowControl w:val="0"/>
        <w:kinsoku/>
        <w:wordWrap/>
        <w:overflowPunct/>
        <w:topLinePunct w:val="0"/>
        <w:autoSpaceDE/>
        <w:autoSpaceDN/>
        <w:bidi w:val="0"/>
        <w:adjustRightInd/>
        <w:snapToGrid/>
        <w:spacing w:after="375" w:afterLines="120" w:line="560" w:lineRule="exact"/>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附件1</w:t>
      </w:r>
    </w:p>
    <w:p w14:paraId="6A2CCFBE">
      <w:pPr>
        <w:keepNext w:val="0"/>
        <w:keepLines w:val="0"/>
        <w:pageBreakBefore w:val="0"/>
        <w:widowControl w:val="0"/>
        <w:kinsoku/>
        <w:wordWrap/>
        <w:overflowPunct/>
        <w:topLinePunct w:val="0"/>
        <w:autoSpaceDE/>
        <w:autoSpaceDN/>
        <w:bidi w:val="0"/>
        <w:adjustRightInd w:val="0"/>
        <w:snapToGrid w:val="0"/>
        <w:spacing w:line="700" w:lineRule="exact"/>
        <w:jc w:val="center"/>
        <w:textAlignment w:val="auto"/>
        <w:outlineLvl w:val="9"/>
        <w:rPr>
          <w:rFonts w:hint="eastAsia" w:ascii="方正小标宋简体" w:hAnsi="方正小标宋简体" w:eastAsia="方正小标宋简体" w:cs="方正小标宋简体"/>
          <w:color w:val="000000"/>
          <w:kern w:val="2"/>
          <w:sz w:val="44"/>
          <w:szCs w:val="44"/>
          <w:lang w:val="en-US" w:eastAsia="zh-CN" w:bidi="ar-SA"/>
        </w:rPr>
      </w:pPr>
      <w:bookmarkStart w:id="10" w:name="OLE_LINK1"/>
      <w:bookmarkStart w:id="11" w:name="OLE_LINK2"/>
      <w:bookmarkStart w:id="12" w:name="OLE_LINK15"/>
      <w:r>
        <w:rPr>
          <w:rFonts w:hint="eastAsia" w:ascii="方正小标宋简体" w:hAnsi="方正小标宋简体" w:eastAsia="方正小标宋简体" w:cs="方正小标宋简体"/>
          <w:color w:val="000000"/>
          <w:kern w:val="2"/>
          <w:sz w:val="44"/>
          <w:szCs w:val="44"/>
          <w:lang w:val="en-US" w:eastAsia="zh-CN" w:bidi="ar-SA"/>
        </w:rPr>
        <w:t>池州市第三轮省生态环境保护督察反馈问题</w:t>
      </w:r>
    </w:p>
    <w:p w14:paraId="2159E117">
      <w:pPr>
        <w:keepNext w:val="0"/>
        <w:keepLines w:val="0"/>
        <w:pageBreakBefore w:val="0"/>
        <w:widowControl w:val="0"/>
        <w:kinsoku/>
        <w:wordWrap/>
        <w:overflowPunct/>
        <w:topLinePunct w:val="0"/>
        <w:autoSpaceDE/>
        <w:autoSpaceDN/>
        <w:bidi w:val="0"/>
        <w:adjustRightInd w:val="0"/>
        <w:snapToGrid w:val="0"/>
        <w:spacing w:line="700" w:lineRule="exact"/>
        <w:jc w:val="center"/>
        <w:textAlignment w:val="auto"/>
        <w:outlineLvl w:val="9"/>
        <w:rPr>
          <w:rFonts w:hint="eastAsia" w:ascii="方正小标宋简体" w:hAnsi="方正小标宋简体" w:eastAsia="方正小标宋简体" w:cs="方正小标宋简体"/>
          <w:color w:val="000000"/>
          <w:sz w:val="44"/>
          <w:szCs w:val="44"/>
        </w:rPr>
      </w:pPr>
      <w:r>
        <w:rPr>
          <w:rFonts w:hint="eastAsia" w:ascii="方正小标宋简体" w:hAnsi="方正小标宋简体" w:eastAsia="方正小标宋简体" w:cs="方正小标宋简体"/>
          <w:color w:val="000000"/>
          <w:kern w:val="2"/>
          <w:sz w:val="44"/>
          <w:szCs w:val="44"/>
          <w:lang w:val="en-US" w:eastAsia="zh-CN" w:bidi="ar-SA"/>
        </w:rPr>
        <w:t>整改进展情况</w:t>
      </w:r>
    </w:p>
    <w:bookmarkEnd w:id="10"/>
    <w:p w14:paraId="02A07FAC">
      <w:pPr>
        <w:keepNext w:val="0"/>
        <w:keepLines w:val="0"/>
        <w:pageBreakBefore w:val="0"/>
        <w:widowControl w:val="0"/>
        <w:kinsoku/>
        <w:wordWrap/>
        <w:overflowPunct w:val="0"/>
        <w:topLinePunct w:val="0"/>
        <w:autoSpaceDE/>
        <w:autoSpaceDN/>
        <w:bidi w:val="0"/>
        <w:adjustRightInd/>
        <w:snapToGrid/>
        <w:spacing w:line="580" w:lineRule="exact"/>
        <w:ind w:firstLine="184" w:firstLineChars="200"/>
        <w:jc w:val="both"/>
        <w:textAlignment w:val="auto"/>
        <w:outlineLvl w:val="9"/>
        <w:rPr>
          <w:rFonts w:hint="eastAsia" w:ascii="方正美黑_GBK" w:hAnsi="宋体" w:eastAsia="方正美黑_GBK"/>
          <w:color w:val="FF0000"/>
          <w:spacing w:val="-74"/>
          <w:w w:val="75"/>
          <w:sz w:val="32"/>
          <w:szCs w:val="32"/>
        </w:rPr>
      </w:pPr>
    </w:p>
    <w:bookmarkEnd w:id="11"/>
    <w:bookmarkEnd w:id="12"/>
    <w:p w14:paraId="6B2926B1">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黑体" w:hAnsi="黑体" w:eastAsia="黑体" w:cs="黑体"/>
          <w:i w:val="0"/>
          <w:iCs w:val="0"/>
          <w:color w:val="auto"/>
          <w:kern w:val="0"/>
          <w:sz w:val="32"/>
          <w:szCs w:val="32"/>
          <w:highlight w:val="none"/>
          <w:u w:val="none"/>
          <w:lang w:val="en-US" w:eastAsia="zh-CN" w:bidi="ar"/>
        </w:rPr>
      </w:pPr>
      <w:r>
        <w:rPr>
          <w:rFonts w:hint="eastAsia" w:ascii="黑体" w:hAnsi="黑体" w:eastAsia="黑体" w:cs="黑体"/>
          <w:color w:val="auto"/>
          <w:kern w:val="0"/>
          <w:sz w:val="32"/>
          <w:szCs w:val="32"/>
          <w:highlight w:val="none"/>
          <w:lang w:val="en-US" w:eastAsia="zh-CN" w:bidi="ar"/>
        </w:rPr>
        <w:t>一、</w:t>
      </w:r>
      <w:r>
        <w:rPr>
          <w:rFonts w:hint="eastAsia" w:ascii="黑体" w:hAnsi="黑体" w:eastAsia="黑体" w:cs="黑体"/>
          <w:color w:val="auto"/>
          <w:kern w:val="0"/>
          <w:sz w:val="32"/>
          <w:szCs w:val="32"/>
          <w:highlight w:val="none"/>
          <w:lang w:bidi="ar"/>
        </w:rPr>
        <w:t>近年来，池州市在生态文明建设和生态环境保护方面取得了积极进展，但仍存在一些突出问题亟待解决</w:t>
      </w:r>
      <w:r>
        <w:rPr>
          <w:rFonts w:hint="eastAsia" w:ascii="黑体" w:hAnsi="黑体" w:eastAsia="黑体" w:cs="黑体"/>
          <w:color w:val="auto"/>
          <w:kern w:val="0"/>
          <w:sz w:val="32"/>
          <w:szCs w:val="32"/>
          <w:highlight w:val="none"/>
          <w:lang w:eastAsia="zh-CN" w:bidi="ar"/>
        </w:rPr>
        <w:t>。</w:t>
      </w:r>
      <w:r>
        <w:rPr>
          <w:rFonts w:hint="eastAsia" w:ascii="黑体" w:hAnsi="黑体" w:eastAsia="黑体" w:cs="黑体"/>
          <w:i w:val="0"/>
          <w:iCs w:val="0"/>
          <w:color w:val="auto"/>
          <w:kern w:val="0"/>
          <w:sz w:val="32"/>
          <w:szCs w:val="32"/>
          <w:highlight w:val="none"/>
          <w:u w:val="none"/>
          <w:lang w:val="en-US" w:eastAsia="zh-CN" w:bidi="ar"/>
        </w:rPr>
        <w:t>池州市拥有162公里长江岸线，森林覆盖率60.6%，是长三角重要的生态屏障。但一些地方和部门没有牢固树立和践行绿水青山就是金山银山的理念。督察发现，池州市在林地保护、湖泊管理等方面问题突出。池州市对建筑垃圾治理和水环境基础设施建设缺乏统筹谋划，工作推进不力，导致建筑垃圾乱堆乱倒，污水直排、溢流等问题突出。一些地方和部门未落实边督边改、立行立改督察要求。</w:t>
      </w:r>
    </w:p>
    <w:p w14:paraId="3040A756">
      <w:pPr>
        <w:keepNext w:val="0"/>
        <w:keepLines w:val="0"/>
        <w:pageBreakBefore w:val="0"/>
        <w:widowControl w:val="0"/>
        <w:kinsoku/>
        <w:wordWrap/>
        <w:overflowPunct w:val="0"/>
        <w:topLinePunct w:val="0"/>
        <w:bidi w:val="0"/>
        <w:adjustRightInd w:val="0"/>
        <w:snapToGrid w:val="0"/>
        <w:spacing w:line="580" w:lineRule="exact"/>
        <w:ind w:firstLine="640" w:firstLineChars="200"/>
        <w:jc w:val="both"/>
        <w:outlineLvl w:val="9"/>
        <w:rPr>
          <w:rFonts w:hint="eastAsia" w:ascii="仿宋_GB2312" w:hAnsi="仿宋_GB2312" w:eastAsia="仿宋_GB2312" w:cs="仿宋_GB2312"/>
          <w:color w:val="auto"/>
          <w:sz w:val="32"/>
          <w:szCs w:val="32"/>
          <w:highlight w:val="none"/>
        </w:rPr>
      </w:pPr>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color w:val="auto"/>
          <w:sz w:val="32"/>
          <w:szCs w:val="32"/>
          <w:highlight w:val="none"/>
        </w:rPr>
        <w:t>立行立改，长期坚持。</w:t>
      </w:r>
    </w:p>
    <w:p w14:paraId="5E5F5577">
      <w:pPr>
        <w:keepNext w:val="0"/>
        <w:keepLines w:val="0"/>
        <w:pageBreakBefore w:val="0"/>
        <w:widowControl w:val="0"/>
        <w:kinsoku/>
        <w:wordWrap/>
        <w:overflowPunct w:val="0"/>
        <w:topLinePunct w:val="0"/>
        <w:bidi w:val="0"/>
        <w:adjustRightInd w:val="0"/>
        <w:snapToGrid w:val="0"/>
        <w:spacing w:line="580" w:lineRule="exact"/>
        <w:ind w:firstLine="640" w:firstLineChars="200"/>
        <w:jc w:val="both"/>
        <w:outlineLvl w:val="9"/>
        <w:rPr>
          <w:rFonts w:hint="eastAsia" w:ascii="仿宋_GB2312" w:hAnsi="仿宋_GB2312" w:eastAsia="仿宋_GB2312" w:cs="仿宋_GB2312"/>
          <w:color w:val="auto"/>
          <w:sz w:val="32"/>
          <w:szCs w:val="32"/>
          <w:highlight w:val="none"/>
        </w:rPr>
      </w:pPr>
      <w:r>
        <w:rPr>
          <w:rFonts w:hint="eastAsia" w:ascii="楷体_GB2312" w:hAnsi="楷体_GB2312" w:eastAsia="楷体_GB2312" w:cs="楷体_GB2312"/>
          <w:color w:val="auto"/>
          <w:sz w:val="32"/>
          <w:szCs w:val="32"/>
          <w:highlight w:val="none"/>
        </w:rPr>
        <w:t>整改进展：</w:t>
      </w:r>
      <w:r>
        <w:rPr>
          <w:rFonts w:hint="eastAsia" w:ascii="仿宋_GB2312" w:hAnsi="仿宋_GB2312" w:eastAsia="仿宋_GB2312" w:cs="仿宋_GB2312"/>
          <w:color w:val="auto"/>
          <w:sz w:val="32"/>
          <w:szCs w:val="32"/>
          <w:highlight w:val="none"/>
        </w:rPr>
        <w:t>整改取得明显成效，持续推进。</w:t>
      </w:r>
    </w:p>
    <w:p w14:paraId="709137C8">
      <w:pPr>
        <w:keepNext w:val="0"/>
        <w:keepLines w:val="0"/>
        <w:pageBreakBefore w:val="0"/>
        <w:widowControl w:val="0"/>
        <w:kinsoku/>
        <w:wordWrap/>
        <w:overflowPunct w:val="0"/>
        <w:topLinePunct w:val="0"/>
        <w:autoSpaceDE/>
        <w:autoSpaceDN/>
        <w:bidi w:val="0"/>
        <w:adjustRightInd/>
        <w:snapToGrid/>
        <w:spacing w:line="580" w:lineRule="exact"/>
        <w:ind w:firstLine="640" w:firstLineChars="200"/>
        <w:jc w:val="both"/>
        <w:textAlignment w:val="auto"/>
        <w:outlineLvl w:val="9"/>
        <w:rPr>
          <w:rFonts w:hint="eastAsia" w:ascii="仿宋_GB2312" w:hAnsi="仿宋_GB2312" w:eastAsia="仿宋_GB2312" w:cs="仿宋_GB2312"/>
          <w:color w:val="auto"/>
          <w:sz w:val="32"/>
          <w:szCs w:val="32"/>
          <w:highlight w:val="none"/>
          <w:lang w:val="en-US" w:eastAsia="zh-CN"/>
        </w:rPr>
      </w:pPr>
      <w:bookmarkStart w:id="13" w:name="OLE_LINK51"/>
      <w:r>
        <w:rPr>
          <w:rFonts w:hint="eastAsia" w:ascii="仿宋_GB2312" w:hAnsi="仿宋_GB2312" w:eastAsia="仿宋_GB2312" w:cs="仿宋_GB2312"/>
          <w:color w:val="auto"/>
          <w:sz w:val="32"/>
          <w:szCs w:val="32"/>
          <w:highlight w:val="none"/>
          <w:lang w:val="en-US" w:eastAsia="zh-CN"/>
        </w:rPr>
        <w:t>1.</w:t>
      </w:r>
      <w:r>
        <w:rPr>
          <w:rFonts w:hint="eastAsia" w:ascii="仿宋_GB2312" w:hAnsi="宋体" w:eastAsia="仿宋_GB2312" w:cs="仿宋_GB2312"/>
          <w:snapToGrid w:val="0"/>
          <w:color w:val="auto"/>
          <w:kern w:val="0"/>
          <w:sz w:val="32"/>
          <w:szCs w:val="32"/>
          <w:highlight w:val="none"/>
          <w:lang w:val="en-US" w:eastAsia="zh-CN"/>
        </w:rPr>
        <w:t>努力学深悟透习近平生态文明思想，市委常委会会议、市政府党组会议及时跟进学习习近平总书记最新重要讲话指示批示精神，不断增强抓好突出生态环境问题排查整改的政治自觉、思想自觉、行动自觉。市委常委会会议、市政府常务会议、市环委会会议定期听取生态环保工作有关情况汇报，市委、市政府主要负责同志常态化下沉一线督导问题整改，市环委办统筹、市县联动、部门协同的排查整改工作格局不断健全。</w:t>
      </w:r>
    </w:p>
    <w:p w14:paraId="2D646AF0">
      <w:pPr>
        <w:keepNext w:val="0"/>
        <w:keepLines w:val="0"/>
        <w:pageBreakBefore w:val="0"/>
        <w:widowControl w:val="0"/>
        <w:kinsoku/>
        <w:wordWrap/>
        <w:overflowPunct w:val="0"/>
        <w:topLinePunct w:val="0"/>
        <w:bidi w:val="0"/>
        <w:adjustRightInd w:val="0"/>
        <w:snapToGrid w:val="0"/>
        <w:spacing w:line="580" w:lineRule="exact"/>
        <w:ind w:firstLine="640" w:firstLineChars="200"/>
        <w:jc w:val="both"/>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2.常态化开展同类型、关联性、延伸性问题的排查整治，针对排查发现、群众反映、多次出现的问题，强化源头治理、系统治理、精准治理，有针对性地建立和完善制度，加快推动生态建设由外部约束向内生动力转变。 </w:t>
      </w:r>
    </w:p>
    <w:p w14:paraId="423E13EC">
      <w:pPr>
        <w:keepNext w:val="0"/>
        <w:keepLines w:val="0"/>
        <w:pageBreakBefore w:val="0"/>
        <w:widowControl w:val="0"/>
        <w:kinsoku/>
        <w:wordWrap/>
        <w:overflowPunct w:val="0"/>
        <w:topLinePunct w:val="0"/>
        <w:bidi w:val="0"/>
        <w:adjustRightInd w:val="0"/>
        <w:snapToGrid w:val="0"/>
        <w:spacing w:line="580" w:lineRule="exact"/>
        <w:ind w:firstLine="640" w:firstLineChars="200"/>
        <w:jc w:val="both"/>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坚持把生态环境保护作为干部教育培训必修内容，将习近平生态文明思想作为党校教育教学的重要内容，引导党政领导干部充分认识池州生态环境保护的重要性和紧迫性，牢固树立“绿水青山就是金山银山”理念，树立正确的政绩观。</w:t>
      </w:r>
    </w:p>
    <w:p w14:paraId="6D4F11B9">
      <w:pPr>
        <w:keepNext w:val="0"/>
        <w:keepLines w:val="0"/>
        <w:pageBreakBefore w:val="0"/>
        <w:widowControl w:val="0"/>
        <w:kinsoku/>
        <w:wordWrap/>
        <w:overflowPunct w:val="0"/>
        <w:topLinePunct w:val="0"/>
        <w:autoSpaceDE/>
        <w:autoSpaceDN/>
        <w:bidi w:val="0"/>
        <w:adjustRightInd/>
        <w:snapToGrid/>
        <w:spacing w:beforeLines="0" w:afterLines="0" w:line="580" w:lineRule="exact"/>
        <w:ind w:firstLine="640" w:firstLineChars="200"/>
        <w:jc w:val="both"/>
        <w:textAlignment w:val="auto"/>
        <w:outlineLvl w:val="9"/>
        <w:rPr>
          <w:rFonts w:hint="default" w:ascii="仿宋_GB2312" w:hAnsi="仿宋_GB2312"/>
          <w:color w:val="000000"/>
          <w:sz w:val="32"/>
          <w:szCs w:val="32"/>
          <w:highlight w:val="none"/>
          <w:lang w:val="en-US" w:eastAsia="zh-CN"/>
        </w:rPr>
      </w:pPr>
      <w:r>
        <w:rPr>
          <w:rFonts w:hint="eastAsia" w:ascii="仿宋_GB2312" w:hAnsi="仿宋_GB2312" w:eastAsia="仿宋_GB2312" w:cs="仿宋_GB2312"/>
          <w:color w:val="000000"/>
          <w:sz w:val="32"/>
          <w:szCs w:val="32"/>
          <w:highlight w:val="none"/>
          <w:lang w:val="en-US" w:eastAsia="zh-CN"/>
        </w:rPr>
        <w:t>4.</w:t>
      </w:r>
      <w:r>
        <w:rPr>
          <w:rFonts w:hint="eastAsia" w:ascii="仿宋_GB2312" w:hAnsi="仿宋_GB2312" w:eastAsia="仿宋_GB2312" w:cs="仿宋_GB2312"/>
          <w:snapToGrid w:val="0"/>
          <w:color w:val="000000"/>
          <w:kern w:val="0"/>
          <w:sz w:val="32"/>
          <w:szCs w:val="32"/>
          <w:highlight w:val="none"/>
          <w:lang w:val="en-US" w:eastAsia="zh-CN"/>
        </w:rPr>
        <w:t>坚持把绿色低碳发展作为解决生态环境问题的治本之策，大力发展半导体、新材料、高端装备制造、商业航天、低空经济等产业，2024年全市战新产业产值占规上工业比重46.5%、高于全省平均水平2.9个百分点。</w:t>
      </w:r>
    </w:p>
    <w:bookmarkEnd w:id="13"/>
    <w:p w14:paraId="0C54430A">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黑体" w:hAnsi="黑体" w:eastAsia="黑体" w:cs="黑体"/>
          <w:color w:val="auto"/>
          <w:kern w:val="0"/>
          <w:sz w:val="32"/>
          <w:szCs w:val="32"/>
          <w:highlight w:val="none"/>
          <w:lang w:val="en-US" w:eastAsia="zh-CN" w:bidi="ar"/>
        </w:rPr>
      </w:pPr>
      <w:r>
        <w:rPr>
          <w:rFonts w:hint="eastAsia" w:ascii="黑体" w:hAnsi="黑体" w:eastAsia="黑体" w:cs="黑体"/>
          <w:color w:val="auto"/>
          <w:kern w:val="0"/>
          <w:sz w:val="32"/>
          <w:szCs w:val="32"/>
          <w:highlight w:val="none"/>
          <w:lang w:val="en-US" w:eastAsia="zh-CN" w:bidi="ar"/>
        </w:rPr>
        <w:t>二、6月15日督察组指出安徽青木机械配件制造有限公司车间存在粉尘管理不到位等问题，6月20日督察组“回头看”时发现该企业未整改。</w:t>
      </w:r>
    </w:p>
    <w:p w14:paraId="67E4A924">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rPr>
      </w:pPr>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i w:val="0"/>
          <w:iCs w:val="0"/>
          <w:color w:val="auto"/>
          <w:kern w:val="0"/>
          <w:sz w:val="32"/>
          <w:szCs w:val="32"/>
          <w:highlight w:val="none"/>
          <w:u w:val="none"/>
          <w:lang w:val="en-US" w:eastAsia="zh-CN" w:bidi="ar"/>
        </w:rPr>
        <w:t>2025年3月底。</w:t>
      </w:r>
    </w:p>
    <w:p w14:paraId="685480AB">
      <w:pPr>
        <w:keepNext w:val="0"/>
        <w:keepLines w:val="0"/>
        <w:pageBreakBefore w:val="0"/>
        <w:widowControl w:val="0"/>
        <w:kinsoku/>
        <w:wordWrap/>
        <w:overflowPunct w:val="0"/>
        <w:topLinePunct w:val="0"/>
        <w:bidi w:val="0"/>
        <w:spacing w:line="580" w:lineRule="exact"/>
        <w:ind w:firstLine="640" w:firstLineChars="200"/>
        <w:jc w:val="both"/>
        <w:outlineLvl w:val="9"/>
        <w:rPr>
          <w:rFonts w:hint="eastAsia" w:ascii="方正小标宋简体" w:hAnsi="方正小标宋简体" w:eastAsia="楷体_GB2312" w:cs="方正小标宋简体"/>
          <w:color w:val="auto"/>
          <w:sz w:val="32"/>
          <w:szCs w:val="32"/>
          <w:highlight w:val="none"/>
          <w:lang w:val="en-US" w:eastAsia="zh-CN"/>
        </w:rPr>
      </w:pPr>
      <w:r>
        <w:rPr>
          <w:rFonts w:hint="eastAsia" w:ascii="楷体_GB2312" w:hAnsi="楷体_GB2312" w:eastAsia="楷体_GB2312" w:cs="楷体_GB2312"/>
          <w:color w:val="auto"/>
          <w:sz w:val="32"/>
          <w:szCs w:val="32"/>
          <w:highlight w:val="none"/>
        </w:rPr>
        <w:t>整改进展：</w:t>
      </w:r>
      <w:r>
        <w:rPr>
          <w:rFonts w:hint="eastAsia" w:ascii="仿宋_GB2312" w:hAnsi="仿宋_GB2312" w:eastAsia="仿宋_GB2312" w:cs="仿宋_GB2312"/>
          <w:color w:val="auto"/>
          <w:sz w:val="32"/>
          <w:szCs w:val="32"/>
          <w:highlight w:val="none"/>
          <w:lang w:val="en-US" w:eastAsia="zh-CN"/>
        </w:rPr>
        <w:t>已完成整改。</w:t>
      </w:r>
    </w:p>
    <w:p w14:paraId="62175832">
      <w:pPr>
        <w:keepNext w:val="0"/>
        <w:keepLines w:val="0"/>
        <w:pageBreakBefore w:val="0"/>
        <w:widowControl w:val="0"/>
        <w:kinsoku/>
        <w:wordWrap/>
        <w:overflowPunct w:val="0"/>
        <w:topLinePunct w:val="0"/>
        <w:bidi w:val="0"/>
        <w:adjustRightInd w:val="0"/>
        <w:snapToGrid w:val="0"/>
        <w:spacing w:line="580" w:lineRule="exact"/>
        <w:ind w:firstLine="640" w:firstLineChars="200"/>
        <w:jc w:val="both"/>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1.已对青木机械公司违反固体废物管理制度进行查处。</w:t>
      </w:r>
    </w:p>
    <w:p w14:paraId="6CACEDF9">
      <w:pPr>
        <w:keepNext w:val="0"/>
        <w:keepLines w:val="0"/>
        <w:pageBreakBefore w:val="0"/>
        <w:widowControl w:val="0"/>
        <w:kinsoku/>
        <w:wordWrap/>
        <w:overflowPunct w:val="0"/>
        <w:topLinePunct w:val="0"/>
        <w:bidi w:val="0"/>
        <w:adjustRightInd w:val="0"/>
        <w:snapToGrid w:val="0"/>
        <w:spacing w:line="580" w:lineRule="exact"/>
        <w:ind w:firstLine="640" w:firstLineChars="200"/>
        <w:jc w:val="both"/>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该企业已合理规划车间并设置分区围挡，加强内部环境管理，对生产车间破损处进行修补完善；定期对废气污染防治设施进行维护保养，3#车间浇铸线新增布袋除尘+二级活性炭箱废气处理设施，打磨工序增设集气管道、集气罩及布袋除尘，进一步增强废气收集处理效果。</w:t>
      </w:r>
    </w:p>
    <w:p w14:paraId="6851E02E">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黑体" w:hAnsi="黑体" w:eastAsia="黑体" w:cs="黑体"/>
          <w:color w:val="auto"/>
          <w:kern w:val="0"/>
          <w:sz w:val="32"/>
          <w:szCs w:val="32"/>
          <w:highlight w:val="none"/>
          <w:lang w:val="en-US" w:eastAsia="zh-CN" w:bidi="ar"/>
        </w:rPr>
      </w:pPr>
      <w:r>
        <w:rPr>
          <w:rFonts w:hint="eastAsia" w:ascii="黑体" w:hAnsi="黑体" w:eastAsia="黑体" w:cs="黑体"/>
          <w:color w:val="auto"/>
          <w:kern w:val="0"/>
          <w:sz w:val="32"/>
          <w:szCs w:val="32"/>
          <w:highlight w:val="none"/>
          <w:lang w:val="en-US" w:eastAsia="zh-CN" w:bidi="ar"/>
        </w:rPr>
        <w:t>三、绿色发展方式转型不快。节能降碳工作有短板。</w:t>
      </w:r>
      <w:bookmarkStart w:id="14" w:name="OLE_LINK49"/>
      <w:r>
        <w:rPr>
          <w:rFonts w:hint="eastAsia" w:ascii="黑体" w:hAnsi="黑体" w:eastAsia="黑体" w:cs="黑体"/>
          <w:color w:val="auto"/>
          <w:kern w:val="0"/>
          <w:sz w:val="32"/>
          <w:szCs w:val="32"/>
          <w:highlight w:val="none"/>
          <w:lang w:val="en-US" w:eastAsia="zh-CN" w:bidi="ar"/>
        </w:rPr>
        <w:t>2023年，池州市单位GDP能耗0.62吨标煤/万元，是全省平均</w:t>
      </w:r>
      <w:bookmarkEnd w:id="14"/>
      <w:r>
        <w:rPr>
          <w:rFonts w:hint="eastAsia" w:ascii="黑体" w:hAnsi="黑体" w:eastAsia="黑体" w:cs="黑体"/>
          <w:color w:val="auto"/>
          <w:kern w:val="0"/>
          <w:sz w:val="32"/>
          <w:szCs w:val="32"/>
          <w:highlight w:val="none"/>
          <w:lang w:val="en-US" w:eastAsia="zh-CN" w:bidi="ar"/>
        </w:rPr>
        <w:t>水平的1.68倍。</w:t>
      </w:r>
    </w:p>
    <w:p w14:paraId="69548770">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rPr>
      </w:pPr>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i w:val="0"/>
          <w:iCs w:val="0"/>
          <w:color w:val="auto"/>
          <w:kern w:val="0"/>
          <w:sz w:val="32"/>
          <w:szCs w:val="32"/>
          <w:highlight w:val="none"/>
          <w:u w:val="none"/>
          <w:lang w:val="en-US" w:eastAsia="zh-CN" w:bidi="ar"/>
        </w:rPr>
        <w:t>2025年9月底。</w:t>
      </w:r>
    </w:p>
    <w:p w14:paraId="0E3F399B">
      <w:pPr>
        <w:keepNext w:val="0"/>
        <w:keepLines w:val="0"/>
        <w:pageBreakBefore w:val="0"/>
        <w:widowControl w:val="0"/>
        <w:kinsoku/>
        <w:wordWrap/>
        <w:overflowPunct w:val="0"/>
        <w:topLinePunct w:val="0"/>
        <w:bidi w:val="0"/>
        <w:spacing w:line="580" w:lineRule="exact"/>
        <w:ind w:firstLine="640" w:firstLineChars="200"/>
        <w:jc w:val="both"/>
        <w:outlineLvl w:val="9"/>
        <w:rPr>
          <w:rFonts w:hint="eastAsia" w:ascii="方正小标宋简体" w:hAnsi="方正小标宋简体" w:eastAsia="楷体_GB2312" w:cs="方正小标宋简体"/>
          <w:color w:val="auto"/>
          <w:sz w:val="32"/>
          <w:szCs w:val="32"/>
          <w:highlight w:val="none"/>
          <w:lang w:val="en-US" w:eastAsia="zh-CN"/>
        </w:rPr>
      </w:pPr>
      <w:r>
        <w:rPr>
          <w:rFonts w:hint="eastAsia" w:ascii="楷体_GB2312" w:hAnsi="楷体_GB2312" w:eastAsia="楷体_GB2312" w:cs="楷体_GB2312"/>
          <w:color w:val="auto"/>
          <w:sz w:val="32"/>
          <w:szCs w:val="32"/>
          <w:highlight w:val="none"/>
        </w:rPr>
        <w:t>整改进展：</w:t>
      </w:r>
      <w:r>
        <w:rPr>
          <w:rFonts w:hint="eastAsia" w:ascii="楷体_GB2312" w:hAnsi="楷体_GB2312" w:eastAsia="楷体_GB2312" w:cs="楷体_GB2312"/>
          <w:color w:val="auto"/>
          <w:sz w:val="32"/>
          <w:szCs w:val="32"/>
          <w:highlight w:val="none"/>
          <w:lang w:val="en-US" w:eastAsia="zh-CN"/>
        </w:rPr>
        <w:t>已完成整改。</w:t>
      </w:r>
    </w:p>
    <w:p w14:paraId="4DA106D6">
      <w:pPr>
        <w:keepNext w:val="0"/>
        <w:keepLines w:val="0"/>
        <w:pageBreakBefore w:val="0"/>
        <w:widowControl w:val="0"/>
        <w:numPr>
          <w:ilvl w:val="0"/>
          <w:numId w:val="0"/>
        </w:numPr>
        <w:kinsoku/>
        <w:wordWrap/>
        <w:overflowPunct w:val="0"/>
        <w:topLinePunct w:val="0"/>
        <w:bidi w:val="0"/>
        <w:adjustRightInd w:val="0"/>
        <w:snapToGrid w:val="0"/>
        <w:spacing w:beforeLines="0" w:afterLines="0" w:line="580" w:lineRule="exact"/>
        <w:ind w:firstLine="640" w:firstLineChars="200"/>
        <w:jc w:val="both"/>
        <w:outlineLvl w:val="9"/>
        <w:rPr>
          <w:rFonts w:hint="eastAsia" w:ascii="仿宋_GB2312" w:hAnsi="仿宋_GB2312" w:eastAsia="仿宋_GB2312" w:cs="仿宋_GB2312"/>
          <w:color w:val="000000"/>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1.2024年全市单位GDP能耗下降6.3%，完成省下达我市2024年度能耗强度下降1.9%的目标任务；</w:t>
      </w:r>
      <w:bookmarkStart w:id="15" w:name="OLE_LINK91"/>
      <w:r>
        <w:rPr>
          <w:rFonts w:hint="eastAsia" w:ascii="仿宋_GB2312" w:hAnsi="仿宋_GB2312" w:eastAsia="仿宋_GB2312" w:cs="仿宋_GB2312"/>
          <w:color w:val="000000"/>
          <w:sz w:val="32"/>
          <w:szCs w:val="32"/>
          <w:highlight w:val="none"/>
          <w:lang w:val="en-US" w:eastAsia="zh-CN"/>
        </w:rPr>
        <w:t>2025年前三季度，全市单位GDP能耗下降1.3%，达到时序进度。</w:t>
      </w:r>
    </w:p>
    <w:bookmarkEnd w:id="15"/>
    <w:p w14:paraId="29A0AF14">
      <w:pPr>
        <w:keepNext w:val="0"/>
        <w:keepLines w:val="0"/>
        <w:pageBreakBefore w:val="0"/>
        <w:widowControl w:val="0"/>
        <w:numPr>
          <w:ilvl w:val="0"/>
          <w:numId w:val="0"/>
        </w:numPr>
        <w:kinsoku/>
        <w:wordWrap/>
        <w:overflowPunct w:val="0"/>
        <w:topLinePunct w:val="0"/>
        <w:bidi w:val="0"/>
        <w:adjustRightInd w:val="0"/>
        <w:snapToGrid w:val="0"/>
        <w:spacing w:line="580" w:lineRule="exact"/>
        <w:ind w:firstLine="640" w:firstLineChars="200"/>
        <w:jc w:val="both"/>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2.严把“两高”项目准入关口，严格落实“两高”项目联合评估论证机制要求，切实强化源头管控。</w:t>
      </w:r>
    </w:p>
    <w:p w14:paraId="7B0F6480">
      <w:pPr>
        <w:keepNext w:val="0"/>
        <w:keepLines w:val="0"/>
        <w:pageBreakBefore w:val="0"/>
        <w:widowControl w:val="0"/>
        <w:numPr>
          <w:ilvl w:val="0"/>
          <w:numId w:val="0"/>
        </w:numPr>
        <w:kinsoku/>
        <w:wordWrap/>
        <w:overflowPunct w:val="0"/>
        <w:topLinePunct w:val="0"/>
        <w:bidi w:val="0"/>
        <w:adjustRightInd w:val="0"/>
        <w:snapToGrid w:val="0"/>
        <w:spacing w:beforeLines="0" w:afterLines="0" w:line="580" w:lineRule="exact"/>
        <w:ind w:firstLine="640" w:firstLineChars="200"/>
        <w:jc w:val="both"/>
        <w:outlineLvl w:val="9"/>
        <w:rPr>
          <w:rFonts w:hint="eastAsia" w:ascii="仿宋_GB2312" w:hAnsi="仿宋_GB2312" w:eastAsia="仿宋_GB2312" w:cs="仿宋_GB2312"/>
          <w:color w:val="000000"/>
          <w:sz w:val="32"/>
          <w:szCs w:val="32"/>
          <w:highlight w:val="none"/>
          <w:lang w:val="en-US" w:eastAsia="zh-CN"/>
        </w:rPr>
      </w:pPr>
      <w:r>
        <w:rPr>
          <w:rFonts w:hint="eastAsia" w:ascii="仿宋_GB2312" w:hAnsi="仿宋_GB2312" w:eastAsia="仿宋_GB2312" w:cs="仿宋_GB2312"/>
          <w:color w:val="000000"/>
          <w:sz w:val="32"/>
          <w:szCs w:val="32"/>
          <w:highlight w:val="none"/>
          <w:lang w:val="en-US" w:eastAsia="zh-CN"/>
        </w:rPr>
        <w:t>3.大力发展可再生能源，2024年，可再生能源新增并网量为50.59万千瓦，可再生能源发电量25.4亿千瓦时、增长23.59%；</w:t>
      </w:r>
      <w:bookmarkStart w:id="16" w:name="OLE_LINK90"/>
      <w:r>
        <w:rPr>
          <w:rFonts w:hint="eastAsia" w:ascii="仿宋_GB2312" w:hAnsi="仿宋_GB2312" w:eastAsia="仿宋_GB2312" w:cs="仿宋_GB2312"/>
          <w:color w:val="000000"/>
          <w:sz w:val="32"/>
          <w:szCs w:val="32"/>
          <w:highlight w:val="none"/>
          <w:lang w:val="en-US" w:eastAsia="zh-CN"/>
        </w:rPr>
        <w:t>2025年1-9月份，可再生能源发电量23.6亿千瓦时、增长23.4%。</w:t>
      </w:r>
      <w:bookmarkEnd w:id="16"/>
      <w:r>
        <w:rPr>
          <w:rFonts w:hint="eastAsia" w:ascii="仿宋_GB2312" w:hAnsi="仿宋_GB2312" w:eastAsia="仿宋_GB2312" w:cs="仿宋_GB2312"/>
          <w:color w:val="000000"/>
          <w:sz w:val="32"/>
          <w:szCs w:val="32"/>
          <w:highlight w:val="none"/>
          <w:lang w:val="en-US" w:eastAsia="zh-CN"/>
        </w:rPr>
        <w:t>全市非化石能源消费占比由“十三五”末的5.3%提升至2024年的16.7%。</w:t>
      </w:r>
    </w:p>
    <w:p w14:paraId="2A9395A4">
      <w:pPr>
        <w:keepNext w:val="0"/>
        <w:keepLines w:val="0"/>
        <w:pageBreakBefore w:val="0"/>
        <w:widowControl w:val="0"/>
        <w:numPr>
          <w:ilvl w:val="0"/>
          <w:numId w:val="0"/>
        </w:numPr>
        <w:kinsoku/>
        <w:wordWrap/>
        <w:overflowPunct w:val="0"/>
        <w:topLinePunct w:val="0"/>
        <w:bidi w:val="0"/>
        <w:adjustRightInd w:val="0"/>
        <w:snapToGrid w:val="0"/>
        <w:spacing w:line="580" w:lineRule="exact"/>
        <w:ind w:firstLine="640" w:firstLineChars="200"/>
        <w:jc w:val="both"/>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4.完成5000-10000吨标煤重点企业节能降碳诊断并通过省级审核，积极争取节能降碳领域政策资金支持。</w:t>
      </w:r>
    </w:p>
    <w:p w14:paraId="342184DC">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黑体" w:hAnsi="黑体" w:eastAsia="黑体" w:cs="黑体"/>
          <w:color w:val="auto"/>
          <w:kern w:val="0"/>
          <w:sz w:val="32"/>
          <w:szCs w:val="32"/>
          <w:highlight w:val="none"/>
          <w:lang w:val="en-US" w:eastAsia="zh-CN" w:bidi="ar"/>
        </w:rPr>
      </w:pPr>
      <w:r>
        <w:rPr>
          <w:rFonts w:hint="eastAsia" w:ascii="黑体" w:hAnsi="黑体" w:eastAsia="黑体" w:cs="黑体"/>
          <w:color w:val="auto"/>
          <w:kern w:val="0"/>
          <w:sz w:val="32"/>
          <w:szCs w:val="32"/>
          <w:highlight w:val="none"/>
          <w:lang w:val="en-US" w:eastAsia="zh-CN" w:bidi="ar"/>
        </w:rPr>
        <w:t>四、部分铸造企业熔炼设备的能耗指标远高于《铸造企业规范条件》规定指标，池州池杭机械制造有限公司、池州宏伟金属再生科技有限公司冲天炉熔炼设备能耗分别高于规定指标108%、122%。泫氏铸造有限责任公司、振宇汽车部件有限公司等熔炼设备能耗均高于规定指标。</w:t>
      </w:r>
    </w:p>
    <w:p w14:paraId="6884A5BA">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rPr>
      </w:pPr>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i w:val="0"/>
          <w:iCs w:val="0"/>
          <w:color w:val="auto"/>
          <w:kern w:val="0"/>
          <w:sz w:val="32"/>
          <w:szCs w:val="32"/>
          <w:highlight w:val="none"/>
          <w:u w:val="none"/>
          <w:lang w:val="en-US" w:eastAsia="zh-CN" w:bidi="ar"/>
        </w:rPr>
        <w:t>2025年底。</w:t>
      </w:r>
    </w:p>
    <w:p w14:paraId="00CB6C8C">
      <w:pPr>
        <w:pStyle w:val="8"/>
        <w:keepNext w:val="0"/>
        <w:keepLines w:val="0"/>
        <w:pageBreakBefore w:val="0"/>
        <w:widowControl w:val="0"/>
        <w:kinsoku/>
        <w:wordWrap/>
        <w:overflowPunct w:val="0"/>
        <w:topLinePunct w:val="0"/>
        <w:bidi w:val="0"/>
        <w:adjustRightInd w:val="0"/>
        <w:snapToGrid w:val="0"/>
        <w:spacing w:line="580" w:lineRule="exact"/>
        <w:ind w:firstLine="640" w:firstLineChars="200"/>
        <w:jc w:val="both"/>
        <w:outlineLvl w:val="9"/>
        <w:rPr>
          <w:rFonts w:hint="eastAsia" w:ascii="仿宋_GB2312" w:hAnsi="仿宋_GB2312" w:eastAsia="仿宋_GB2312" w:cs="仿宋_GB2312"/>
          <w:color w:val="auto"/>
          <w:kern w:val="2"/>
          <w:sz w:val="32"/>
          <w:szCs w:val="32"/>
          <w:highlight w:val="none"/>
          <w:lang w:val="en-US" w:eastAsia="zh-CN" w:bidi="ar-SA"/>
        </w:rPr>
      </w:pPr>
      <w:r>
        <w:rPr>
          <w:rFonts w:hint="eastAsia" w:ascii="楷体_GB2312" w:hAnsi="楷体_GB2312" w:eastAsia="楷体_GB2312" w:cs="楷体_GB2312"/>
          <w:color w:val="auto"/>
          <w:sz w:val="32"/>
          <w:szCs w:val="32"/>
          <w:highlight w:val="none"/>
        </w:rPr>
        <w:t>整改进展：</w:t>
      </w:r>
      <w:r>
        <w:rPr>
          <w:rFonts w:hint="eastAsia" w:ascii="仿宋_GB2312" w:hAnsi="仿宋_GB2312" w:eastAsia="仿宋_GB2312" w:cs="仿宋_GB2312"/>
          <w:color w:val="auto"/>
          <w:kern w:val="2"/>
          <w:sz w:val="32"/>
          <w:szCs w:val="32"/>
          <w:highlight w:val="none"/>
          <w:lang w:val="en-US" w:eastAsia="zh-CN" w:bidi="ar-SA"/>
        </w:rPr>
        <w:t>已完成整改。</w:t>
      </w:r>
    </w:p>
    <w:p w14:paraId="739FF987">
      <w:pPr>
        <w:keepNext w:val="0"/>
        <w:keepLines w:val="0"/>
        <w:pageBreakBefore w:val="0"/>
        <w:widowControl w:val="0"/>
        <w:numPr>
          <w:ilvl w:val="0"/>
          <w:numId w:val="0"/>
        </w:numPr>
        <w:kinsoku/>
        <w:wordWrap/>
        <w:overflowPunct w:val="0"/>
        <w:topLinePunct w:val="0"/>
        <w:bidi w:val="0"/>
        <w:adjustRightInd w:val="0"/>
        <w:snapToGrid w:val="0"/>
        <w:spacing w:line="580" w:lineRule="exact"/>
        <w:ind w:firstLine="640" w:firstLineChars="200"/>
        <w:jc w:val="both"/>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贵池区对池杭机械制造有限公司、池州宏伟金属再生科技有限公司熔炼设备及全厂用能情况开展系统性节能诊断，对设备运行参数、工艺流程及能源效率等关键环节进行全面检测分析，形成专业节能诊断报告。依据诊断结果，淘汰高耗能落后设备，池杭机械、宏伟金属各更新改造设备2套。</w:t>
      </w:r>
    </w:p>
    <w:p w14:paraId="0F19F983">
      <w:pPr>
        <w:keepNext w:val="0"/>
        <w:keepLines w:val="0"/>
        <w:pageBreakBefore w:val="0"/>
        <w:widowControl w:val="0"/>
        <w:numPr>
          <w:ilvl w:val="0"/>
          <w:numId w:val="0"/>
        </w:numPr>
        <w:kinsoku/>
        <w:wordWrap/>
        <w:overflowPunct w:val="0"/>
        <w:topLinePunct w:val="0"/>
        <w:bidi w:val="0"/>
        <w:adjustRightInd w:val="0"/>
        <w:snapToGrid w:val="0"/>
        <w:spacing w:line="580" w:lineRule="exact"/>
        <w:ind w:firstLine="640" w:firstLineChars="200"/>
        <w:jc w:val="both"/>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2.</w:t>
      </w:r>
      <w:r>
        <w:rPr>
          <w:rFonts w:hint="eastAsia" w:ascii="仿宋_GB2312" w:hAnsi="仿宋_GB2312" w:eastAsia="仿宋_GB2312" w:cs="仿宋_GB2312"/>
          <w:color w:val="auto"/>
          <w:sz w:val="32"/>
          <w:szCs w:val="32"/>
          <w:highlight w:val="none"/>
          <w:lang w:val="en-US" w:eastAsia="zh-CN"/>
        </w:rPr>
        <w:t xml:space="preserve">泫氏铸造公司完成熔融设备及附属设施改造，振宇汽车部件公司完成电炉筑炉坩整改埚改造升级。按照《铸造企业规范条件》要求，两家公司已通过中国铸造协会第二批达标企业申报并公示。 </w:t>
      </w:r>
    </w:p>
    <w:p w14:paraId="3957E8CD">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方正小标宋简体" w:hAnsi="方正小标宋简体" w:eastAsia="方正小标宋简体" w:cs="方正小标宋简体"/>
          <w:color w:val="auto"/>
          <w:sz w:val="32"/>
          <w:szCs w:val="32"/>
          <w:highlight w:val="none"/>
          <w:lang w:val="en-US" w:eastAsia="zh-CN"/>
        </w:rPr>
      </w:pPr>
      <w:r>
        <w:rPr>
          <w:rFonts w:hint="eastAsia" w:ascii="黑体" w:hAnsi="黑体" w:eastAsia="黑体" w:cs="黑体"/>
          <w:color w:val="auto"/>
          <w:kern w:val="0"/>
          <w:sz w:val="32"/>
          <w:szCs w:val="32"/>
          <w:highlight w:val="none"/>
          <w:lang w:val="en-US" w:eastAsia="zh-CN" w:bidi="ar"/>
        </w:rPr>
        <w:t>五、产业结构不优。2023年，全市六大高耗能行业占规上工业增加值比重高达54.2%，较2022年上升0.7个百分点。</w:t>
      </w:r>
    </w:p>
    <w:p w14:paraId="239FD967">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rPr>
      </w:pPr>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i w:val="0"/>
          <w:iCs w:val="0"/>
          <w:color w:val="auto"/>
          <w:kern w:val="0"/>
          <w:sz w:val="32"/>
          <w:szCs w:val="32"/>
          <w:highlight w:val="none"/>
          <w:u w:val="none"/>
          <w:lang w:val="en-US" w:eastAsia="zh-CN" w:bidi="ar"/>
        </w:rPr>
        <w:t>2025年底。</w:t>
      </w:r>
    </w:p>
    <w:p w14:paraId="591C65C0">
      <w:pPr>
        <w:keepNext w:val="0"/>
        <w:keepLines w:val="0"/>
        <w:pageBreakBefore w:val="0"/>
        <w:widowControl w:val="0"/>
        <w:kinsoku/>
        <w:wordWrap/>
        <w:overflowPunct w:val="0"/>
        <w:topLinePunct w:val="0"/>
        <w:bidi w:val="0"/>
        <w:spacing w:line="580" w:lineRule="exact"/>
        <w:ind w:firstLine="640" w:firstLineChars="200"/>
        <w:jc w:val="both"/>
        <w:outlineLvl w:val="9"/>
        <w:rPr>
          <w:rFonts w:hint="eastAsia" w:ascii="方正小标宋简体" w:hAnsi="方正小标宋简体" w:eastAsia="楷体_GB2312" w:cs="方正小标宋简体"/>
          <w:color w:val="auto"/>
          <w:sz w:val="32"/>
          <w:szCs w:val="32"/>
          <w:highlight w:val="none"/>
          <w:lang w:val="en-US" w:eastAsia="zh-CN"/>
        </w:rPr>
      </w:pPr>
      <w:r>
        <w:rPr>
          <w:rFonts w:hint="eastAsia" w:ascii="楷体_GB2312" w:hAnsi="楷体_GB2312" w:eastAsia="楷体_GB2312" w:cs="楷体_GB2312"/>
          <w:color w:val="auto"/>
          <w:sz w:val="32"/>
          <w:szCs w:val="32"/>
          <w:highlight w:val="none"/>
        </w:rPr>
        <w:t>整改进展：</w:t>
      </w:r>
      <w:r>
        <w:rPr>
          <w:rFonts w:hint="eastAsia" w:ascii="仿宋_GB2312" w:hAnsi="仿宋_GB2312" w:eastAsia="仿宋_GB2312" w:cs="仿宋_GB2312"/>
          <w:color w:val="auto"/>
          <w:kern w:val="2"/>
          <w:sz w:val="32"/>
          <w:szCs w:val="32"/>
          <w:highlight w:val="none"/>
          <w:lang w:val="en-US" w:eastAsia="zh-CN" w:bidi="ar-SA"/>
        </w:rPr>
        <w:t>已完成整改。</w:t>
      </w:r>
    </w:p>
    <w:p w14:paraId="149B0FF9">
      <w:pPr>
        <w:keepNext w:val="0"/>
        <w:keepLines w:val="0"/>
        <w:pageBreakBefore w:val="0"/>
        <w:widowControl w:val="0"/>
        <w:kinsoku/>
        <w:wordWrap/>
        <w:overflowPunct w:val="0"/>
        <w:topLinePunct w:val="0"/>
        <w:bidi w:val="0"/>
        <w:spacing w:line="580" w:lineRule="exact"/>
        <w:ind w:firstLine="640" w:firstLineChars="200"/>
        <w:jc w:val="both"/>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1.加快推进高耗能企业节能降碳改造，组织对重点用能单位进行节能降碳管理专题培训。华尔泰合成氨制气节能技改、池州海螺4号线综合能效技改、友进冠华DWHS低温余热回收节能改造等项目竣工投产，池州海螺8#线替代燃料改造完工，九华电厂二期项目3号机组投产、4号机组进入试运行，贵航特钢烧结技术改造开工建设。</w:t>
      </w:r>
    </w:p>
    <w:p w14:paraId="223C4F4F">
      <w:pPr>
        <w:keepNext w:val="0"/>
        <w:keepLines w:val="0"/>
        <w:pageBreakBefore w:val="0"/>
        <w:widowControl w:val="0"/>
        <w:kinsoku/>
        <w:wordWrap/>
        <w:overflowPunct w:val="0"/>
        <w:topLinePunct w:val="0"/>
        <w:bidi w:val="0"/>
        <w:spacing w:line="580" w:lineRule="exact"/>
        <w:ind w:firstLine="640" w:firstLineChars="200"/>
        <w:jc w:val="both"/>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2.完成5000-10000吨标煤重点企业节能降碳诊断并通过省级审核。积极争取节能降碳领域政策资金支持。</w:t>
      </w:r>
    </w:p>
    <w:p w14:paraId="43A12C0A">
      <w:pPr>
        <w:keepNext w:val="0"/>
        <w:keepLines w:val="0"/>
        <w:pageBreakBefore w:val="0"/>
        <w:widowControl w:val="0"/>
        <w:kinsoku/>
        <w:wordWrap/>
        <w:overflowPunct w:val="0"/>
        <w:topLinePunct w:val="0"/>
        <w:bidi w:val="0"/>
        <w:spacing w:line="580" w:lineRule="exact"/>
        <w:ind w:firstLine="640" w:firstLineChars="200"/>
        <w:jc w:val="both"/>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3.鼓励引导企业使用清洁能源。2024年，全市可再生能源新增并网量50.59万千瓦，可再生能源发电量25.4亿千瓦时、增长23.59%；2025年1-9月份，可再生能源发电量23.60亿千瓦时、增长23.41%。2024年指导企业购买省外绿证125万张；2025年1-9月，指导各地组织购买省外绿证7.5万余张。</w:t>
      </w:r>
    </w:p>
    <w:p w14:paraId="4D00B375">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4.2024年，全市高耗能行业增加值占规上工业比重降至50.8%，高耗能行业单位增加值能耗同比下降3.6%；2025年1-9月，全市高耗能行业增加值占比下降至48.4%，高耗能行业单位增加值能耗同比下降4.9%。</w:t>
      </w:r>
    </w:p>
    <w:p w14:paraId="3ADB5931">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黑体" w:hAnsi="黑体" w:eastAsia="黑体" w:cs="黑体"/>
          <w:color w:val="auto"/>
          <w:kern w:val="0"/>
          <w:sz w:val="32"/>
          <w:szCs w:val="32"/>
          <w:highlight w:val="none"/>
          <w:lang w:val="en-US" w:eastAsia="zh-CN" w:bidi="ar"/>
        </w:rPr>
      </w:pPr>
      <w:r>
        <w:rPr>
          <w:rFonts w:hint="eastAsia" w:ascii="黑体" w:hAnsi="黑体" w:eastAsia="黑体" w:cs="黑体"/>
          <w:color w:val="auto"/>
          <w:kern w:val="0"/>
          <w:sz w:val="32"/>
          <w:szCs w:val="32"/>
          <w:highlight w:val="none"/>
          <w:lang w:val="en-US" w:eastAsia="zh-CN" w:bidi="ar"/>
        </w:rPr>
        <w:t>六、2023年，规上工业企业亩均税收15.7万元，低于全省平均水平5.05万元，高质量发展存在不足。</w:t>
      </w:r>
    </w:p>
    <w:p w14:paraId="3281BC0D">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rPr>
      </w:pPr>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i w:val="0"/>
          <w:iCs w:val="0"/>
          <w:color w:val="auto"/>
          <w:kern w:val="0"/>
          <w:sz w:val="32"/>
          <w:szCs w:val="32"/>
          <w:highlight w:val="none"/>
          <w:u w:val="none"/>
          <w:lang w:val="en-US" w:eastAsia="zh-CN" w:bidi="ar"/>
        </w:rPr>
        <w:t>2025年底取得阶段性成效，并长期坚持。</w:t>
      </w:r>
    </w:p>
    <w:p w14:paraId="0892724C">
      <w:pPr>
        <w:keepNext w:val="0"/>
        <w:keepLines w:val="0"/>
        <w:pageBreakBefore w:val="0"/>
        <w:widowControl w:val="0"/>
        <w:kinsoku/>
        <w:wordWrap/>
        <w:overflowPunct w:val="0"/>
        <w:topLinePunct w:val="0"/>
        <w:bidi w:val="0"/>
        <w:spacing w:line="580" w:lineRule="exact"/>
        <w:ind w:firstLine="640" w:firstLineChars="200"/>
        <w:jc w:val="both"/>
        <w:outlineLvl w:val="9"/>
        <w:rPr>
          <w:rFonts w:hint="eastAsia" w:ascii="方正小标宋简体" w:hAnsi="方正小标宋简体" w:eastAsia="楷体_GB2312" w:cs="方正小标宋简体"/>
          <w:color w:val="auto"/>
          <w:sz w:val="32"/>
          <w:szCs w:val="32"/>
          <w:highlight w:val="none"/>
          <w:lang w:val="en-US" w:eastAsia="zh-CN"/>
        </w:rPr>
      </w:pPr>
      <w:r>
        <w:rPr>
          <w:rFonts w:hint="eastAsia" w:ascii="楷体_GB2312" w:hAnsi="楷体_GB2312" w:eastAsia="楷体_GB2312" w:cs="楷体_GB2312"/>
          <w:color w:val="auto"/>
          <w:sz w:val="32"/>
          <w:szCs w:val="32"/>
          <w:highlight w:val="none"/>
        </w:rPr>
        <w:t>整改进展：</w:t>
      </w:r>
      <w:r>
        <w:rPr>
          <w:rFonts w:hint="eastAsia" w:ascii="仿宋_GB2312" w:hAnsi="仿宋_GB2312" w:eastAsia="仿宋_GB2312" w:cs="仿宋_GB2312"/>
          <w:color w:val="auto"/>
          <w:kern w:val="2"/>
          <w:sz w:val="32"/>
          <w:szCs w:val="32"/>
          <w:highlight w:val="none"/>
          <w:lang w:val="en-US" w:eastAsia="zh-CN" w:bidi="ar-SA"/>
        </w:rPr>
        <w:t>已完成整改。</w:t>
      </w:r>
    </w:p>
    <w:p w14:paraId="3B0664E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bookmarkStart w:id="17" w:name="OLE_LINK70"/>
      <w:r>
        <w:rPr>
          <w:rFonts w:hint="eastAsia" w:ascii="仿宋_GB2312" w:hAnsi="仿宋_GB2312" w:eastAsia="仿宋_GB2312" w:cs="仿宋_GB2312"/>
          <w:i w:val="0"/>
          <w:iCs w:val="0"/>
          <w:color w:val="auto"/>
          <w:kern w:val="0"/>
          <w:sz w:val="32"/>
          <w:szCs w:val="32"/>
          <w:highlight w:val="none"/>
          <w:u w:val="none"/>
          <w:lang w:val="en-US" w:eastAsia="zh-CN" w:bidi="ar"/>
        </w:rPr>
        <w:t>1.持续推进亩均效益评价。坚持市级为主导、县区为主体的原则，构建市县联动组织体系，扎实有序推动亩均效益评价工作开展。2024年规上工业实现亩均税收17.2万元/亩，同比增长9.65%；2025年规上工业实现亩均税收19.6万元/亩，同比增长14.2%。</w:t>
      </w:r>
    </w:p>
    <w:p w14:paraId="474CA3B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default"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2.着力提升数智赋能水平。加快企业开展数字化应用改造进度，实现重点行业规上工业企业数字化改造全覆盖，截至2025年9月底，参加数字化转型测评的771户规上企业全部通过测评。</w:t>
      </w:r>
    </w:p>
    <w:p w14:paraId="3C6C2B3C">
      <w:pPr>
        <w:pStyle w:val="15"/>
        <w:keepNext w:val="0"/>
        <w:keepLines w:val="0"/>
        <w:pageBreakBefore w:val="0"/>
        <w:widowControl w:val="0"/>
        <w:kinsoku/>
        <w:wordWrap/>
        <w:overflowPunct w:val="0"/>
        <w:topLinePunct w:val="0"/>
        <w:autoSpaceDE/>
        <w:autoSpaceDN/>
        <w:bidi w:val="0"/>
        <w:adjustRightInd/>
        <w:snapToGrid/>
        <w:spacing w:beforeLines="0" w:after="0" w:afterLines="0" w:line="580" w:lineRule="exact"/>
        <w:ind w:left="0" w:lef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3.加快优质企业培育。实施《追求卓越品质 打造工业品牌矩阵行动计划（2024-2027年）》，全市各类工业品牌三年内实现“增总量、进位次”。2</w:t>
      </w:r>
      <w:r>
        <w:rPr>
          <w:rFonts w:hint="eastAsia" w:ascii="仿宋_GB2312" w:hAnsi="仿宋_GB2312" w:eastAsia="仿宋_GB2312" w:cs="仿宋_GB2312"/>
          <w:i w:val="0"/>
          <w:iCs w:val="0"/>
          <w:color w:val="000000"/>
          <w:kern w:val="0"/>
          <w:sz w:val="32"/>
          <w:szCs w:val="32"/>
          <w:highlight w:val="none"/>
          <w:u w:val="none"/>
          <w:lang w:val="en-US" w:eastAsia="zh-CN" w:bidi="ar"/>
        </w:rPr>
        <w:t>024年以来累计获得国家、省级品牌称号367项。</w:t>
      </w:r>
    </w:p>
    <w:bookmarkEnd w:id="17"/>
    <w:p w14:paraId="0FDEB051">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黑体" w:hAnsi="黑体" w:eastAsia="黑体" w:cs="黑体"/>
          <w:color w:val="auto"/>
          <w:kern w:val="0"/>
          <w:sz w:val="32"/>
          <w:szCs w:val="32"/>
          <w:highlight w:val="none"/>
          <w:lang w:val="en-US" w:eastAsia="zh-CN" w:bidi="ar"/>
        </w:rPr>
      </w:pPr>
      <w:r>
        <w:rPr>
          <w:rFonts w:hint="eastAsia" w:ascii="黑体" w:hAnsi="黑体" w:eastAsia="黑体" w:cs="黑体"/>
          <w:color w:val="auto"/>
          <w:kern w:val="0"/>
          <w:sz w:val="32"/>
          <w:szCs w:val="32"/>
          <w:highlight w:val="none"/>
          <w:lang w:val="en-US" w:eastAsia="zh-CN" w:bidi="ar"/>
        </w:rPr>
        <w:t>七、</w:t>
      </w:r>
      <w:bookmarkStart w:id="18" w:name="OLE_LINK54"/>
      <w:r>
        <w:rPr>
          <w:rFonts w:hint="eastAsia" w:ascii="黑体" w:hAnsi="黑体" w:eastAsia="黑体" w:cs="黑体"/>
          <w:color w:val="auto"/>
          <w:kern w:val="0"/>
          <w:sz w:val="32"/>
          <w:szCs w:val="32"/>
          <w:highlight w:val="none"/>
          <w:lang w:val="en-US" w:eastAsia="zh-CN" w:bidi="ar"/>
        </w:rPr>
        <w:t>石灰加工企业“小而散”问题突出。全市50家石灰加工企业仅1家产能超过50万吨，产能占比仅4.5%，与行业转型升级规划提出的“到2025年，全市产能≥50万吨企业产能占总产能比例达到90%”目标差距很大。</w:t>
      </w:r>
      <w:bookmarkEnd w:id="18"/>
    </w:p>
    <w:p w14:paraId="3D7A5C7E">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rPr>
      </w:pPr>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i w:val="0"/>
          <w:iCs w:val="0"/>
          <w:color w:val="auto"/>
          <w:kern w:val="0"/>
          <w:sz w:val="32"/>
          <w:szCs w:val="32"/>
          <w:highlight w:val="none"/>
          <w:u w:val="none"/>
          <w:lang w:val="en-US" w:eastAsia="zh-CN" w:bidi="ar"/>
        </w:rPr>
        <w:t>2025年底取得阶段性成效，并长期坚持。</w:t>
      </w:r>
    </w:p>
    <w:p w14:paraId="2A110B34">
      <w:pPr>
        <w:keepNext w:val="0"/>
        <w:keepLines w:val="0"/>
        <w:pageBreakBefore w:val="0"/>
        <w:widowControl w:val="0"/>
        <w:kinsoku/>
        <w:wordWrap/>
        <w:overflowPunct w:val="0"/>
        <w:topLinePunct w:val="0"/>
        <w:bidi w:val="0"/>
        <w:spacing w:line="580" w:lineRule="exact"/>
        <w:ind w:firstLine="640" w:firstLineChars="200"/>
        <w:jc w:val="both"/>
        <w:outlineLvl w:val="9"/>
        <w:rPr>
          <w:rFonts w:hint="eastAsia" w:ascii="方正小标宋简体" w:hAnsi="方正小标宋简体" w:eastAsia="楷体_GB2312" w:cs="方正小标宋简体"/>
          <w:color w:val="auto"/>
          <w:sz w:val="32"/>
          <w:szCs w:val="32"/>
          <w:highlight w:val="none"/>
          <w:lang w:val="en-US" w:eastAsia="zh-CN"/>
        </w:rPr>
      </w:pPr>
      <w:r>
        <w:rPr>
          <w:rFonts w:hint="eastAsia" w:ascii="楷体_GB2312" w:hAnsi="楷体_GB2312" w:eastAsia="楷体_GB2312" w:cs="楷体_GB2312"/>
          <w:color w:val="auto"/>
          <w:sz w:val="32"/>
          <w:szCs w:val="32"/>
          <w:highlight w:val="none"/>
        </w:rPr>
        <w:t>整改进展：</w:t>
      </w:r>
      <w:r>
        <w:rPr>
          <w:rFonts w:hint="eastAsia" w:ascii="仿宋_GB2312" w:hAnsi="仿宋_GB2312" w:eastAsia="仿宋_GB2312" w:cs="仿宋_GB2312"/>
          <w:color w:val="auto"/>
          <w:kern w:val="2"/>
          <w:sz w:val="32"/>
          <w:szCs w:val="32"/>
          <w:highlight w:val="none"/>
          <w:lang w:val="en-US" w:eastAsia="zh-CN" w:bidi="ar-SA"/>
        </w:rPr>
        <w:t>已完成整改。</w:t>
      </w:r>
    </w:p>
    <w:p w14:paraId="38BA1F89">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 w:eastAsia="zh-CN" w:bidi="ar"/>
        </w:rPr>
      </w:pPr>
      <w:bookmarkStart w:id="19" w:name="OLE_LINK71"/>
      <w:r>
        <w:rPr>
          <w:rFonts w:hint="eastAsia" w:ascii="仿宋_GB2312" w:hAnsi="仿宋_GB2312" w:eastAsia="仿宋_GB2312" w:cs="仿宋_GB2312"/>
          <w:i w:val="0"/>
          <w:iCs w:val="0"/>
          <w:color w:val="auto"/>
          <w:kern w:val="0"/>
          <w:sz w:val="32"/>
          <w:szCs w:val="32"/>
          <w:highlight w:val="none"/>
          <w:u w:val="none"/>
          <w:lang w:val="en-US" w:eastAsia="zh-CN" w:bidi="ar"/>
        </w:rPr>
        <w:t>1.推动企业兼并重组。全市石灰加工企业总数已由整改前的52家，兼并重组至目前的38家，产业集中度提高；通过产能整合与优化利用，青阳县收储产能177万吨；截至目前，已有金隆钙业等5家企业备案产能</w:t>
      </w:r>
      <w:r>
        <w:rPr>
          <w:rFonts w:hint="eastAsia" w:ascii="仿宋_GB2312" w:hAnsi="仿宋_GB2312" w:eastAsia="仿宋_GB2312" w:cs="仿宋_GB2312"/>
          <w:i w:val="0"/>
          <w:iCs w:val="0"/>
          <w:color w:val="auto"/>
          <w:kern w:val="0"/>
          <w:sz w:val="32"/>
          <w:szCs w:val="32"/>
          <w:highlight w:val="none"/>
          <w:u w:val="none"/>
          <w:lang w:val="en" w:eastAsia="zh-CN" w:bidi="ar"/>
        </w:rPr>
        <w:t>≥50万吨。</w:t>
      </w:r>
    </w:p>
    <w:p w14:paraId="0BE0638E">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default"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2.推进技改提升。</w:t>
      </w:r>
      <w:r>
        <w:rPr>
          <w:rFonts w:hint="default" w:ascii="仿宋_GB2312" w:hAnsi="仿宋_GB2312" w:eastAsia="仿宋_GB2312" w:cs="仿宋_GB2312"/>
          <w:i w:val="0"/>
          <w:iCs w:val="0"/>
          <w:color w:val="auto"/>
          <w:kern w:val="0"/>
          <w:sz w:val="32"/>
          <w:szCs w:val="32"/>
          <w:highlight w:val="none"/>
          <w:u w:val="none"/>
          <w:lang w:val="en-US" w:eastAsia="zh-CN" w:bidi="ar"/>
        </w:rPr>
        <w:t>通过应用先进的节能技术（如</w:t>
      </w:r>
      <w:r>
        <w:rPr>
          <w:rFonts w:hint="eastAsia" w:ascii="仿宋_GB2312" w:hAnsi="仿宋_GB2312" w:eastAsia="仿宋_GB2312" w:cs="仿宋_GB2312"/>
          <w:i w:val="0"/>
          <w:iCs w:val="0"/>
          <w:color w:val="auto"/>
          <w:kern w:val="0"/>
          <w:sz w:val="32"/>
          <w:szCs w:val="32"/>
          <w:highlight w:val="none"/>
          <w:u w:val="none"/>
          <w:lang w:val="en-US" w:eastAsia="zh-CN" w:bidi="ar"/>
        </w:rPr>
        <w:t>先进节能钢窑</w:t>
      </w:r>
      <w:r>
        <w:rPr>
          <w:rFonts w:hint="default" w:ascii="仿宋_GB2312" w:hAnsi="仿宋_GB2312" w:eastAsia="仿宋_GB2312" w:cs="仿宋_GB2312"/>
          <w:i w:val="0"/>
          <w:iCs w:val="0"/>
          <w:color w:val="auto"/>
          <w:kern w:val="0"/>
          <w:sz w:val="32"/>
          <w:szCs w:val="32"/>
          <w:highlight w:val="none"/>
          <w:u w:val="none"/>
          <w:lang w:val="en-US" w:eastAsia="zh-CN" w:bidi="ar"/>
        </w:rPr>
        <w:t>、</w:t>
      </w:r>
      <w:r>
        <w:rPr>
          <w:rFonts w:hint="eastAsia" w:ascii="仿宋_GB2312" w:hAnsi="仿宋_GB2312" w:eastAsia="仿宋_GB2312" w:cs="仿宋_GB2312"/>
          <w:i w:val="0"/>
          <w:iCs w:val="0"/>
          <w:color w:val="auto"/>
          <w:kern w:val="0"/>
          <w:sz w:val="32"/>
          <w:szCs w:val="32"/>
          <w:highlight w:val="none"/>
          <w:u w:val="none"/>
          <w:lang w:val="en-US" w:eastAsia="zh-CN" w:bidi="ar"/>
        </w:rPr>
        <w:t>煤气两用钢窑</w:t>
      </w:r>
      <w:r>
        <w:rPr>
          <w:rFonts w:hint="default" w:ascii="仿宋_GB2312" w:hAnsi="仿宋_GB2312" w:eastAsia="仿宋_GB2312" w:cs="仿宋_GB2312"/>
          <w:i w:val="0"/>
          <w:iCs w:val="0"/>
          <w:color w:val="auto"/>
          <w:kern w:val="0"/>
          <w:sz w:val="32"/>
          <w:szCs w:val="32"/>
          <w:highlight w:val="none"/>
          <w:u w:val="none"/>
          <w:lang w:val="en-US" w:eastAsia="zh-CN" w:bidi="ar"/>
        </w:rPr>
        <w:t>）和末端治理技术（如新型除尘、脱硫设施），实现了资源能源消耗和污染物排放总量的有效控制。</w:t>
      </w:r>
    </w:p>
    <w:p w14:paraId="2116A455">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3.优化产业布局。严格管控新上</w:t>
      </w:r>
      <w:r>
        <w:rPr>
          <w:rFonts w:hint="default" w:ascii="仿宋_GB2312" w:hAnsi="仿宋_GB2312" w:eastAsia="仿宋_GB2312" w:cs="仿宋_GB2312"/>
          <w:i w:val="0"/>
          <w:iCs w:val="0"/>
          <w:color w:val="auto"/>
          <w:kern w:val="0"/>
          <w:sz w:val="32"/>
          <w:szCs w:val="32"/>
          <w:highlight w:val="none"/>
          <w:u w:val="none"/>
          <w:lang w:val="en-US" w:eastAsia="zh-CN" w:bidi="ar"/>
        </w:rPr>
        <w:t>石灰生产项目</w:t>
      </w:r>
      <w:r>
        <w:rPr>
          <w:rFonts w:hint="eastAsia" w:ascii="仿宋_GB2312" w:hAnsi="仿宋_GB2312" w:eastAsia="仿宋_GB2312" w:cs="仿宋_GB2312"/>
          <w:i w:val="0"/>
          <w:iCs w:val="0"/>
          <w:color w:val="auto"/>
          <w:kern w:val="0"/>
          <w:sz w:val="32"/>
          <w:szCs w:val="32"/>
          <w:highlight w:val="none"/>
          <w:u w:val="none"/>
          <w:lang w:val="en-US" w:eastAsia="zh-CN" w:bidi="ar"/>
        </w:rPr>
        <w:t>，</w:t>
      </w:r>
      <w:r>
        <w:rPr>
          <w:rFonts w:hint="default" w:ascii="仿宋_GB2312" w:hAnsi="仿宋_GB2312" w:eastAsia="仿宋_GB2312" w:cs="仿宋_GB2312"/>
          <w:i w:val="0"/>
          <w:iCs w:val="0"/>
          <w:color w:val="auto"/>
          <w:kern w:val="0"/>
          <w:sz w:val="32"/>
          <w:szCs w:val="32"/>
          <w:highlight w:val="none"/>
          <w:u w:val="none"/>
          <w:lang w:val="en-US" w:eastAsia="zh-CN" w:bidi="ar"/>
        </w:rPr>
        <w:t>有效遏制了产能无序扩张和重复建设</w:t>
      </w:r>
      <w:r>
        <w:rPr>
          <w:rFonts w:hint="eastAsia" w:ascii="仿宋_GB2312" w:hAnsi="仿宋_GB2312" w:eastAsia="仿宋_GB2312" w:cs="仿宋_GB2312"/>
          <w:i w:val="0"/>
          <w:iCs w:val="0"/>
          <w:color w:val="auto"/>
          <w:kern w:val="0"/>
          <w:sz w:val="32"/>
          <w:szCs w:val="32"/>
          <w:highlight w:val="none"/>
          <w:u w:val="none"/>
          <w:lang w:val="en-US" w:eastAsia="zh-CN" w:bidi="ar"/>
        </w:rPr>
        <w:t>；</w:t>
      </w:r>
      <w:r>
        <w:rPr>
          <w:rFonts w:hint="default" w:ascii="仿宋_GB2312" w:hAnsi="仿宋_GB2312" w:eastAsia="仿宋_GB2312" w:cs="仿宋_GB2312"/>
          <w:i w:val="0"/>
          <w:iCs w:val="0"/>
          <w:color w:val="auto"/>
          <w:kern w:val="0"/>
          <w:sz w:val="32"/>
          <w:szCs w:val="32"/>
          <w:highlight w:val="none"/>
          <w:u w:val="none"/>
          <w:lang w:val="en-US" w:eastAsia="zh-CN" w:bidi="ar"/>
        </w:rPr>
        <w:t>通过对</w:t>
      </w:r>
      <w:r>
        <w:rPr>
          <w:rFonts w:hint="eastAsia" w:ascii="仿宋_GB2312" w:hAnsi="仿宋_GB2312" w:eastAsia="仿宋_GB2312" w:cs="仿宋_GB2312"/>
          <w:i w:val="0"/>
          <w:iCs w:val="0"/>
          <w:color w:val="auto"/>
          <w:kern w:val="0"/>
          <w:sz w:val="32"/>
          <w:szCs w:val="32"/>
          <w:highlight w:val="none"/>
          <w:u w:val="none"/>
          <w:lang w:val="en-US" w:eastAsia="zh-CN" w:bidi="ar"/>
        </w:rPr>
        <w:t>有关</w:t>
      </w:r>
      <w:r>
        <w:rPr>
          <w:rFonts w:hint="default" w:ascii="仿宋_GB2312" w:hAnsi="仿宋_GB2312" w:eastAsia="仿宋_GB2312" w:cs="仿宋_GB2312"/>
          <w:i w:val="0"/>
          <w:iCs w:val="0"/>
          <w:color w:val="auto"/>
          <w:kern w:val="0"/>
          <w:sz w:val="32"/>
          <w:szCs w:val="32"/>
          <w:highlight w:val="none"/>
          <w:u w:val="none"/>
          <w:lang w:val="en-US" w:eastAsia="zh-CN" w:bidi="ar"/>
        </w:rPr>
        <w:t>企业产能的集中收储和定向用于大型技改项目，实</w:t>
      </w:r>
      <w:r>
        <w:rPr>
          <w:rFonts w:hint="eastAsia" w:ascii="仿宋_GB2312" w:hAnsi="仿宋_GB2312" w:eastAsia="仿宋_GB2312" w:cs="仿宋_GB2312"/>
          <w:i w:val="0"/>
          <w:iCs w:val="0"/>
          <w:color w:val="auto"/>
          <w:kern w:val="0"/>
          <w:sz w:val="32"/>
          <w:szCs w:val="32"/>
          <w:highlight w:val="none"/>
          <w:u w:val="none"/>
          <w:lang w:val="en-US" w:eastAsia="zh-CN" w:bidi="ar"/>
        </w:rPr>
        <w:t>现</w:t>
      </w:r>
      <w:r>
        <w:rPr>
          <w:rFonts w:hint="default" w:ascii="仿宋_GB2312" w:hAnsi="仿宋_GB2312" w:eastAsia="仿宋_GB2312" w:cs="仿宋_GB2312"/>
          <w:i w:val="0"/>
          <w:iCs w:val="0"/>
          <w:color w:val="auto"/>
          <w:kern w:val="0"/>
          <w:sz w:val="32"/>
          <w:szCs w:val="32"/>
          <w:highlight w:val="none"/>
          <w:u w:val="none"/>
          <w:lang w:val="en-US" w:eastAsia="zh-CN" w:bidi="ar"/>
        </w:rPr>
        <w:t>资源优化配置和产业集聚发展。</w:t>
      </w:r>
    </w:p>
    <w:bookmarkEnd w:id="19"/>
    <w:p w14:paraId="118E96C8">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黑体" w:hAnsi="黑体" w:eastAsia="黑体" w:cs="黑体"/>
          <w:color w:val="auto"/>
          <w:kern w:val="0"/>
          <w:sz w:val="32"/>
          <w:szCs w:val="32"/>
          <w:highlight w:val="none"/>
          <w:lang w:val="en-US" w:eastAsia="zh-CN" w:bidi="ar"/>
        </w:rPr>
      </w:pPr>
      <w:r>
        <w:rPr>
          <w:rFonts w:hint="eastAsia" w:ascii="黑体" w:hAnsi="黑体" w:eastAsia="黑体" w:cs="黑体"/>
          <w:color w:val="auto"/>
          <w:kern w:val="0"/>
          <w:sz w:val="32"/>
          <w:szCs w:val="32"/>
          <w:highlight w:val="none"/>
          <w:lang w:val="en-US" w:eastAsia="zh-CN" w:bidi="ar"/>
        </w:rPr>
        <w:t>八、市经开区规划环评于2020年到期后，至今未重新编制。</w:t>
      </w:r>
    </w:p>
    <w:p w14:paraId="3334426B">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rPr>
      </w:pPr>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i w:val="0"/>
          <w:iCs w:val="0"/>
          <w:color w:val="auto"/>
          <w:kern w:val="0"/>
          <w:sz w:val="32"/>
          <w:szCs w:val="32"/>
          <w:highlight w:val="none"/>
          <w:u w:val="none"/>
          <w:lang w:val="en-US" w:eastAsia="zh-CN" w:bidi="ar"/>
        </w:rPr>
        <w:t>2026年底。</w:t>
      </w:r>
    </w:p>
    <w:p w14:paraId="24EFE20D">
      <w:pPr>
        <w:keepNext w:val="0"/>
        <w:keepLines w:val="0"/>
        <w:pageBreakBefore w:val="0"/>
        <w:widowControl w:val="0"/>
        <w:kinsoku/>
        <w:wordWrap/>
        <w:overflowPunct w:val="0"/>
        <w:topLinePunct w:val="0"/>
        <w:bidi w:val="0"/>
        <w:spacing w:line="580" w:lineRule="exact"/>
        <w:ind w:firstLine="640" w:firstLineChars="200"/>
        <w:jc w:val="both"/>
        <w:outlineLvl w:val="9"/>
        <w:rPr>
          <w:rFonts w:hint="eastAsia" w:ascii="仿宋_GB2312" w:hAnsi="仿宋_GB2312" w:eastAsia="仿宋_GB2312" w:cs="仿宋_GB2312"/>
          <w:color w:val="auto"/>
          <w:kern w:val="2"/>
          <w:sz w:val="32"/>
          <w:szCs w:val="32"/>
          <w:highlight w:val="none"/>
          <w:lang w:val="en-US" w:eastAsia="zh-CN" w:bidi="ar-SA"/>
        </w:rPr>
      </w:pPr>
      <w:r>
        <w:rPr>
          <w:rFonts w:hint="eastAsia" w:ascii="楷体_GB2312" w:hAnsi="楷体_GB2312" w:eastAsia="楷体_GB2312" w:cs="楷体_GB2312"/>
          <w:color w:val="auto"/>
          <w:sz w:val="32"/>
          <w:szCs w:val="32"/>
          <w:highlight w:val="none"/>
        </w:rPr>
        <w:t>整改进展：</w:t>
      </w:r>
      <w:r>
        <w:rPr>
          <w:rFonts w:hint="eastAsia" w:ascii="仿宋_GB2312" w:hAnsi="仿宋_GB2312" w:eastAsia="仿宋_GB2312" w:cs="仿宋_GB2312"/>
          <w:color w:val="auto"/>
          <w:kern w:val="2"/>
          <w:sz w:val="32"/>
          <w:szCs w:val="32"/>
          <w:highlight w:val="none"/>
          <w:lang w:val="en-US" w:eastAsia="zh-CN" w:bidi="ar-SA"/>
        </w:rPr>
        <w:t>已完成阶段性目标，继续推进。</w:t>
      </w:r>
    </w:p>
    <w:p w14:paraId="0D40178A">
      <w:pPr>
        <w:keepNext w:val="0"/>
        <w:keepLines w:val="0"/>
        <w:pageBreakBefore w:val="0"/>
        <w:widowControl w:val="0"/>
        <w:numPr>
          <w:ilvl w:val="0"/>
          <w:numId w:val="0"/>
        </w:numPr>
        <w:kinsoku/>
        <w:wordWrap/>
        <w:overflowPunct w:val="0"/>
        <w:topLinePunct w:val="0"/>
        <w:bidi w:val="0"/>
        <w:spacing w:line="580" w:lineRule="exact"/>
        <w:ind w:firstLine="640" w:firstLineChars="200"/>
        <w:jc w:val="both"/>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开发区新规划环评正在编制中。在新规划环评批复下达之前，开发区落户项目仍按照原2006-2020年版规划环评要求落实。</w:t>
      </w:r>
    </w:p>
    <w:p w14:paraId="3E1ECB67">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黑体" w:hAnsi="黑体" w:eastAsia="黑体" w:cs="黑体"/>
          <w:color w:val="auto"/>
          <w:spacing w:val="-11"/>
          <w:kern w:val="0"/>
          <w:sz w:val="32"/>
          <w:szCs w:val="32"/>
          <w:highlight w:val="none"/>
          <w:lang w:val="en-US" w:eastAsia="zh-CN" w:bidi="ar"/>
        </w:rPr>
      </w:pPr>
      <w:r>
        <w:rPr>
          <w:rFonts w:hint="eastAsia" w:ascii="黑体" w:hAnsi="黑体" w:eastAsia="黑体" w:cs="黑体"/>
          <w:color w:val="auto"/>
          <w:kern w:val="0"/>
          <w:sz w:val="32"/>
          <w:szCs w:val="32"/>
          <w:highlight w:val="none"/>
          <w:lang w:val="en-US" w:eastAsia="zh-CN" w:bidi="ar"/>
        </w:rPr>
        <w:t>九、水资源利用效率低。2022年，池州市万元GDP用水量、万元</w:t>
      </w:r>
      <w:r>
        <w:rPr>
          <w:rFonts w:hint="eastAsia" w:ascii="黑体" w:hAnsi="黑体" w:eastAsia="黑体" w:cs="黑体"/>
          <w:color w:val="auto"/>
          <w:spacing w:val="-11"/>
          <w:kern w:val="0"/>
          <w:sz w:val="32"/>
          <w:szCs w:val="32"/>
          <w:highlight w:val="none"/>
          <w:lang w:val="en-US" w:eastAsia="zh-CN" w:bidi="ar"/>
        </w:rPr>
        <w:t>工业增加值用水量分别为102.6立方米、94.4立方米，是全省平均水平的1.54倍、1.65倍，是全国平均水平的2.1倍、3.9倍。</w:t>
      </w:r>
    </w:p>
    <w:p w14:paraId="059AA405">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rPr>
      </w:pPr>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i w:val="0"/>
          <w:iCs w:val="0"/>
          <w:color w:val="auto"/>
          <w:kern w:val="0"/>
          <w:sz w:val="32"/>
          <w:szCs w:val="32"/>
          <w:highlight w:val="none"/>
          <w:u w:val="none"/>
          <w:lang w:val="en-US" w:eastAsia="zh-CN" w:bidi="ar"/>
        </w:rPr>
        <w:t>2025年9月底。</w:t>
      </w:r>
    </w:p>
    <w:p w14:paraId="194865B8">
      <w:pPr>
        <w:keepNext w:val="0"/>
        <w:keepLines w:val="0"/>
        <w:pageBreakBefore w:val="0"/>
        <w:widowControl w:val="0"/>
        <w:kinsoku/>
        <w:wordWrap/>
        <w:overflowPunct w:val="0"/>
        <w:topLinePunct w:val="0"/>
        <w:bidi w:val="0"/>
        <w:spacing w:line="580" w:lineRule="exact"/>
        <w:ind w:firstLine="640" w:firstLineChars="200"/>
        <w:jc w:val="both"/>
        <w:outlineLvl w:val="9"/>
        <w:rPr>
          <w:rFonts w:hint="eastAsia" w:ascii="方正小标宋简体" w:hAnsi="方正小标宋简体" w:eastAsia="楷体_GB2312" w:cs="方正小标宋简体"/>
          <w:color w:val="auto"/>
          <w:sz w:val="32"/>
          <w:szCs w:val="32"/>
          <w:highlight w:val="none"/>
          <w:lang w:val="en-US" w:eastAsia="zh-CN"/>
        </w:rPr>
      </w:pPr>
      <w:r>
        <w:rPr>
          <w:rFonts w:hint="eastAsia" w:ascii="楷体_GB2312" w:hAnsi="楷体_GB2312" w:eastAsia="楷体_GB2312" w:cs="楷体_GB2312"/>
          <w:color w:val="auto"/>
          <w:sz w:val="32"/>
          <w:szCs w:val="32"/>
          <w:highlight w:val="none"/>
        </w:rPr>
        <w:t>整改进展：</w:t>
      </w:r>
      <w:r>
        <w:rPr>
          <w:rFonts w:hint="eastAsia" w:ascii="仿宋_GB2312" w:hAnsi="仿宋_GB2312" w:eastAsia="仿宋_GB2312" w:cs="仿宋_GB2312"/>
          <w:color w:val="auto"/>
          <w:kern w:val="2"/>
          <w:sz w:val="32"/>
          <w:szCs w:val="32"/>
          <w:highlight w:val="none"/>
          <w:lang w:val="en-US" w:eastAsia="zh-CN" w:bidi="ar-SA"/>
        </w:rPr>
        <w:t>已完成整改。</w:t>
      </w:r>
    </w:p>
    <w:p w14:paraId="32DDFE23">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1.开展取用水检查，规范取用水行为。印发《关于进一步加强取水许可管理工作的函》《关于开展全市取用水管理突出问题排查整治行动的通知》《关于开展池州市洗车行业违规取用水专项整治的通知》，开展专项行动，排查打击违法违规取用水行为。</w:t>
      </w:r>
    </w:p>
    <w:p w14:paraId="2C12DA01">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2.严格全市用水总量和用水效率双控。印发《池州市“十四五”用水总量和强度双控目标的通知》，分年度下达各区域取水计划，严格用水总量和用水效率双控。2024年全市用水总量为9.9727亿立方米，万元GDP用水量（以2020年不变价计）及万元工业增加值用水量（以2020年不变价计）下降幅度分别为23.06%、20.69%，均超过年度下达目标值，完成国家和省下达的水资源利用效率控制指标。</w:t>
      </w:r>
    </w:p>
    <w:p w14:paraId="795D51E0">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3.扎实开展取用水监管。强化取水许可证照监管，提高核发、换发取水许可证服务质量，在延续阶段根据企业生产状况及实际用水需求动态核减取用水量，保障科学合理利用水资源。推进取水计量监测管理体系建设，已实现中型以上灌区、地下水取水户、年取水5万立方米以上取水户在线计量全覆盖，同时加强计划用水管理预警功能，对超计划用水行为实时预警，督促取用水单位严格落实节水主体责任，提升用水管理水平。</w:t>
      </w:r>
    </w:p>
    <w:p w14:paraId="65F667EE">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4.深入实施节水行动。完成4个县区县域节水型社会达标建设工作，累计建成省级节水型企业20家，省级节水型园区2个，省级节水型灌区2个，省级节水型高校3所；同时开展节水机制创新，推进水权贷、节水贷、合同节水等节水金融政策落地落实，完成“水权贷”项目1个，“合同节水”项目2个，“节水贷”项目3个，其中石台县六百丈水电站为全省首笔“水权贷”，成功入选30个全国用水权改革典型案例。</w:t>
      </w:r>
    </w:p>
    <w:p w14:paraId="3388F8E9">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黑体" w:hAnsi="黑体" w:eastAsia="黑体" w:cs="黑体"/>
          <w:color w:val="auto"/>
          <w:kern w:val="0"/>
          <w:sz w:val="32"/>
          <w:szCs w:val="32"/>
          <w:highlight w:val="none"/>
          <w:lang w:val="en-US" w:eastAsia="zh-CN" w:bidi="ar"/>
        </w:rPr>
      </w:pPr>
      <w:r>
        <w:rPr>
          <w:rFonts w:hint="eastAsia" w:ascii="黑体" w:hAnsi="黑体" w:eastAsia="黑体" w:cs="黑体"/>
          <w:color w:val="auto"/>
          <w:kern w:val="0"/>
          <w:sz w:val="32"/>
          <w:szCs w:val="32"/>
          <w:highlight w:val="none"/>
          <w:lang w:val="en-US" w:eastAsia="zh-CN" w:bidi="ar"/>
        </w:rPr>
        <w:t>十、2015年4月，国务院印发的《水污染防治行动计划》要求，到2020年，高耗水行业达到先进定额标准。池州市工信部门虽然制定了达标计划，但相关工作推进不力，部分高耗水重点企业用水效率至今仍未达标。贵航金属钢压延加工用水效率和</w:t>
      </w:r>
      <w:bookmarkStart w:id="20" w:name="OLE_LINK25"/>
      <w:r>
        <w:rPr>
          <w:rFonts w:hint="eastAsia" w:ascii="黑体" w:hAnsi="黑体" w:eastAsia="黑体" w:cs="黑体"/>
          <w:color w:val="auto"/>
          <w:kern w:val="0"/>
          <w:sz w:val="32"/>
          <w:szCs w:val="32"/>
          <w:highlight w:val="none"/>
          <w:lang w:val="en-US" w:eastAsia="zh-CN" w:bidi="ar"/>
        </w:rPr>
        <w:t>海佳纺织化纤</w:t>
      </w:r>
      <w:bookmarkEnd w:id="20"/>
      <w:r>
        <w:rPr>
          <w:rFonts w:hint="eastAsia" w:ascii="黑体" w:hAnsi="黑体" w:eastAsia="黑体" w:cs="黑体"/>
          <w:color w:val="auto"/>
          <w:kern w:val="0"/>
          <w:sz w:val="32"/>
          <w:szCs w:val="32"/>
          <w:highlight w:val="none"/>
          <w:lang w:val="en-US" w:eastAsia="zh-CN" w:bidi="ar"/>
        </w:rPr>
        <w:t>胚布生产用水效率分别是先进定额的1.5倍、2.3倍。</w:t>
      </w:r>
    </w:p>
    <w:p w14:paraId="39C74343">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rPr>
      </w:pPr>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i w:val="0"/>
          <w:iCs w:val="0"/>
          <w:color w:val="auto"/>
          <w:kern w:val="0"/>
          <w:sz w:val="32"/>
          <w:szCs w:val="32"/>
          <w:highlight w:val="none"/>
          <w:u w:val="none"/>
          <w:lang w:val="en-US" w:eastAsia="zh-CN" w:bidi="ar"/>
        </w:rPr>
        <w:t>2025年6月底。</w:t>
      </w:r>
    </w:p>
    <w:p w14:paraId="419B8394">
      <w:pPr>
        <w:keepNext w:val="0"/>
        <w:keepLines w:val="0"/>
        <w:pageBreakBefore w:val="0"/>
        <w:widowControl w:val="0"/>
        <w:kinsoku/>
        <w:wordWrap/>
        <w:overflowPunct w:val="0"/>
        <w:topLinePunct w:val="0"/>
        <w:bidi w:val="0"/>
        <w:spacing w:line="580" w:lineRule="exact"/>
        <w:ind w:firstLine="640" w:firstLineChars="200"/>
        <w:jc w:val="both"/>
        <w:outlineLvl w:val="9"/>
        <w:rPr>
          <w:rFonts w:hint="eastAsia" w:ascii="方正小标宋简体" w:hAnsi="方正小标宋简体" w:eastAsia="楷体_GB2312" w:cs="方正小标宋简体"/>
          <w:color w:val="auto"/>
          <w:sz w:val="32"/>
          <w:szCs w:val="32"/>
          <w:highlight w:val="none"/>
          <w:lang w:val="en-US" w:eastAsia="zh-CN"/>
        </w:rPr>
      </w:pPr>
      <w:r>
        <w:rPr>
          <w:rFonts w:hint="eastAsia" w:ascii="楷体_GB2312" w:hAnsi="楷体_GB2312" w:eastAsia="楷体_GB2312" w:cs="楷体_GB2312"/>
          <w:color w:val="auto"/>
          <w:sz w:val="32"/>
          <w:szCs w:val="32"/>
          <w:highlight w:val="none"/>
        </w:rPr>
        <w:t>整改进展：</w:t>
      </w:r>
      <w:r>
        <w:rPr>
          <w:rFonts w:hint="eastAsia" w:ascii="仿宋_GB2312" w:hAnsi="仿宋_GB2312" w:eastAsia="仿宋_GB2312" w:cs="仿宋_GB2312"/>
          <w:color w:val="auto"/>
          <w:kern w:val="2"/>
          <w:sz w:val="32"/>
          <w:szCs w:val="32"/>
          <w:highlight w:val="none"/>
          <w:lang w:val="en-US" w:eastAsia="zh-CN" w:bidi="ar-SA"/>
        </w:rPr>
        <w:t>已完成整改。</w:t>
      </w:r>
    </w:p>
    <w:p w14:paraId="57FF5AF8">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bookmarkStart w:id="21" w:name="OLE_LINK26"/>
      <w:r>
        <w:rPr>
          <w:rFonts w:hint="eastAsia" w:ascii="仿宋_GB2312" w:hAnsi="仿宋_GB2312" w:eastAsia="仿宋_GB2312" w:cs="仿宋_GB2312"/>
          <w:i w:val="0"/>
          <w:iCs w:val="0"/>
          <w:color w:val="auto"/>
          <w:kern w:val="0"/>
          <w:sz w:val="32"/>
          <w:szCs w:val="32"/>
          <w:highlight w:val="none"/>
          <w:u w:val="none"/>
          <w:lang w:val="en-US" w:eastAsia="zh-CN" w:bidi="ar"/>
        </w:rPr>
        <w:t>1.两家企业已完成用水效率评估测试，识别了节水空间大的工序和环节。</w:t>
      </w:r>
    </w:p>
    <w:p w14:paraId="27224B40">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黑体" w:hAnsi="黑体" w:eastAsia="黑体" w:cs="黑体"/>
          <w:color w:val="auto"/>
          <w:kern w:val="0"/>
          <w:sz w:val="32"/>
          <w:szCs w:val="32"/>
          <w:highlight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2.两家企业已采用节水型生产工艺，累计换新64台最先进节水布机，加强了废水循环利用力度；制定一系列用水节水管理制度，加强水管及用水设备的巡查工作，减少了生产过程中的水消耗，提高了水利用效率，达到先进定额标准。</w:t>
      </w:r>
      <w:bookmarkEnd w:id="21"/>
    </w:p>
    <w:p w14:paraId="40726AC3">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黑体" w:hAnsi="黑体" w:eastAsia="黑体" w:cs="黑体"/>
          <w:color w:val="auto"/>
          <w:kern w:val="0"/>
          <w:sz w:val="32"/>
          <w:szCs w:val="32"/>
          <w:highlight w:val="none"/>
          <w:lang w:val="en-US" w:eastAsia="zh-CN" w:bidi="ar"/>
        </w:rPr>
      </w:pPr>
      <w:r>
        <w:rPr>
          <w:rFonts w:hint="eastAsia" w:ascii="黑体" w:hAnsi="黑体" w:eastAsia="黑体" w:cs="黑体"/>
          <w:color w:val="auto"/>
          <w:kern w:val="0"/>
          <w:sz w:val="32"/>
          <w:szCs w:val="32"/>
          <w:highlight w:val="none"/>
          <w:lang w:val="en-US" w:eastAsia="zh-CN" w:bidi="ar"/>
        </w:rPr>
        <w:t>十一、2018年以来，池州市新建面积2万平方米以上的4处公共建筑均未配套中水回用设施。</w:t>
      </w:r>
    </w:p>
    <w:p w14:paraId="5D53A76A">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rPr>
      </w:pPr>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i w:val="0"/>
          <w:iCs w:val="0"/>
          <w:color w:val="auto"/>
          <w:kern w:val="0"/>
          <w:sz w:val="32"/>
          <w:szCs w:val="32"/>
          <w:highlight w:val="none"/>
          <w:u w:val="none"/>
          <w:lang w:val="en-US" w:eastAsia="zh-CN" w:bidi="ar"/>
        </w:rPr>
        <w:t>2025年底取得阶段性成效，并长期坚持。</w:t>
      </w:r>
    </w:p>
    <w:p w14:paraId="7A6DFA58">
      <w:pPr>
        <w:keepNext w:val="0"/>
        <w:keepLines w:val="0"/>
        <w:pageBreakBefore w:val="0"/>
        <w:widowControl w:val="0"/>
        <w:kinsoku/>
        <w:wordWrap/>
        <w:overflowPunct w:val="0"/>
        <w:topLinePunct w:val="0"/>
        <w:bidi w:val="0"/>
        <w:spacing w:line="580" w:lineRule="exact"/>
        <w:ind w:firstLine="640" w:firstLineChars="200"/>
        <w:jc w:val="both"/>
        <w:outlineLvl w:val="9"/>
        <w:rPr>
          <w:rFonts w:hint="eastAsia" w:ascii="方正小标宋简体" w:hAnsi="方正小标宋简体" w:eastAsia="楷体_GB2312" w:cs="方正小标宋简体"/>
          <w:color w:val="auto"/>
          <w:sz w:val="32"/>
          <w:szCs w:val="32"/>
          <w:highlight w:val="none"/>
          <w:lang w:val="en-US" w:eastAsia="zh-CN"/>
        </w:rPr>
      </w:pPr>
      <w:r>
        <w:rPr>
          <w:rFonts w:hint="eastAsia" w:ascii="楷体_GB2312" w:hAnsi="楷体_GB2312" w:eastAsia="楷体_GB2312" w:cs="楷体_GB2312"/>
          <w:color w:val="auto"/>
          <w:sz w:val="32"/>
          <w:szCs w:val="32"/>
          <w:highlight w:val="none"/>
        </w:rPr>
        <w:t>整改进展：</w:t>
      </w:r>
      <w:r>
        <w:rPr>
          <w:rFonts w:hint="eastAsia" w:ascii="仿宋_GB2312" w:hAnsi="仿宋_GB2312" w:eastAsia="仿宋_GB2312" w:cs="仿宋_GB2312"/>
          <w:color w:val="auto"/>
          <w:kern w:val="2"/>
          <w:sz w:val="32"/>
          <w:szCs w:val="32"/>
          <w:highlight w:val="none"/>
          <w:lang w:val="en-US" w:eastAsia="zh-CN" w:bidi="ar-SA"/>
        </w:rPr>
        <w:t>已完成整改。</w:t>
      </w:r>
    </w:p>
    <w:p w14:paraId="6C15FED2">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default"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市住房和城乡建设局、市发展改革委、市自然资源和规划局联合印发《关于做好新建大型公共建筑中水利用有关工作的通知》，明确要求建筑面积2万平方米以上的单体公共建筑须建设中水系统，并在可行性研究报告或方案设计阶段审查建筑中水利用工作落实情况。</w:t>
      </w:r>
    </w:p>
    <w:p w14:paraId="40D77DEA">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黑体" w:hAnsi="黑体" w:eastAsia="黑体" w:cs="黑体"/>
          <w:color w:val="auto"/>
          <w:kern w:val="0"/>
          <w:sz w:val="32"/>
          <w:szCs w:val="32"/>
          <w:highlight w:val="none"/>
          <w:lang w:val="en-US" w:eastAsia="zh-CN" w:bidi="ar"/>
        </w:rPr>
      </w:pPr>
      <w:r>
        <w:rPr>
          <w:rFonts w:hint="eastAsia" w:ascii="黑体" w:hAnsi="黑体" w:eastAsia="黑体" w:cs="黑体"/>
          <w:color w:val="auto"/>
          <w:kern w:val="0"/>
          <w:sz w:val="32"/>
          <w:szCs w:val="32"/>
          <w:highlight w:val="none"/>
          <w:lang w:val="en-US" w:eastAsia="zh-CN" w:bidi="ar"/>
        </w:rPr>
        <w:t>十二、《中华人民共和国固体废物污染环境防治法》规定，县级以上地方人民政府应当加强建筑垃圾污染环境的防治，建立建筑垃圾分类处理制度，推动建筑垃圾综合利用。池州市对建筑垃圾污染防治工作重视不够，市、县（区）均未按法定要求，制定建筑垃圾污染环境防治工作规划。</w:t>
      </w:r>
    </w:p>
    <w:p w14:paraId="2214D681">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rPr>
      </w:pPr>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i w:val="0"/>
          <w:iCs w:val="0"/>
          <w:color w:val="auto"/>
          <w:kern w:val="0"/>
          <w:sz w:val="32"/>
          <w:szCs w:val="32"/>
          <w:highlight w:val="none"/>
          <w:u w:val="none"/>
          <w:lang w:val="en-US" w:eastAsia="zh-CN" w:bidi="ar"/>
        </w:rPr>
        <w:t>2025年6月底。</w:t>
      </w:r>
    </w:p>
    <w:p w14:paraId="59E01C90">
      <w:pPr>
        <w:keepNext w:val="0"/>
        <w:keepLines w:val="0"/>
        <w:pageBreakBefore w:val="0"/>
        <w:widowControl w:val="0"/>
        <w:kinsoku/>
        <w:wordWrap/>
        <w:overflowPunct w:val="0"/>
        <w:topLinePunct w:val="0"/>
        <w:bidi w:val="0"/>
        <w:spacing w:line="580" w:lineRule="exact"/>
        <w:ind w:firstLine="640" w:firstLineChars="200"/>
        <w:jc w:val="both"/>
        <w:outlineLvl w:val="9"/>
        <w:rPr>
          <w:rFonts w:hint="eastAsia" w:ascii="方正小标宋简体" w:hAnsi="方正小标宋简体" w:eastAsia="楷体_GB2312" w:cs="方正小标宋简体"/>
          <w:color w:val="auto"/>
          <w:sz w:val="32"/>
          <w:szCs w:val="32"/>
          <w:highlight w:val="none"/>
          <w:lang w:val="en-US" w:eastAsia="zh-CN"/>
        </w:rPr>
      </w:pPr>
      <w:r>
        <w:rPr>
          <w:rFonts w:hint="eastAsia" w:ascii="楷体_GB2312" w:hAnsi="楷体_GB2312" w:eastAsia="楷体_GB2312" w:cs="楷体_GB2312"/>
          <w:color w:val="auto"/>
          <w:sz w:val="32"/>
          <w:szCs w:val="32"/>
          <w:highlight w:val="none"/>
        </w:rPr>
        <w:t>整改进展：</w:t>
      </w:r>
      <w:r>
        <w:rPr>
          <w:rFonts w:hint="eastAsia" w:ascii="仿宋_GB2312" w:hAnsi="仿宋_GB2312" w:eastAsia="仿宋_GB2312" w:cs="仿宋_GB2312"/>
          <w:color w:val="auto"/>
          <w:kern w:val="2"/>
          <w:sz w:val="32"/>
          <w:szCs w:val="32"/>
          <w:highlight w:val="none"/>
          <w:lang w:val="en-US" w:eastAsia="zh-CN" w:bidi="ar-SA"/>
        </w:rPr>
        <w:t>已完成整改。</w:t>
      </w:r>
    </w:p>
    <w:p w14:paraId="6FBBA84E">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1.已编制印发《池州市建筑垃圾污染环境防治工作规划（2024-2035年）》。</w:t>
      </w:r>
    </w:p>
    <w:p w14:paraId="07F19A37">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default"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2.根据《池州市建筑垃圾污染环境防治工作规划（2024-2035年）》，各县均编制建筑垃圾污染环境防治工作规划并印发。</w:t>
      </w:r>
    </w:p>
    <w:p w14:paraId="29046E27">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黑体" w:hAnsi="黑体" w:eastAsia="黑体" w:cs="黑体"/>
          <w:color w:val="auto"/>
          <w:kern w:val="0"/>
          <w:sz w:val="32"/>
          <w:szCs w:val="32"/>
          <w:highlight w:val="none"/>
          <w:lang w:val="en-US" w:eastAsia="zh-CN" w:bidi="ar"/>
        </w:rPr>
      </w:pPr>
      <w:r>
        <w:rPr>
          <w:rFonts w:hint="eastAsia" w:ascii="黑体" w:hAnsi="黑体" w:eastAsia="黑体" w:cs="黑体"/>
          <w:color w:val="auto"/>
          <w:kern w:val="0"/>
          <w:sz w:val="32"/>
          <w:szCs w:val="32"/>
          <w:highlight w:val="none"/>
          <w:lang w:val="en-US" w:eastAsia="zh-CN" w:bidi="ar"/>
        </w:rPr>
        <w:t>十三、城管部门对建筑垃圾综合利用工作疏于监管，全市至今无一处建筑垃圾消纳场。</w:t>
      </w:r>
    </w:p>
    <w:p w14:paraId="17E72D9A">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rPr>
      </w:pPr>
      <w:bookmarkStart w:id="22" w:name="OLE_LINK22"/>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i w:val="0"/>
          <w:iCs w:val="0"/>
          <w:color w:val="auto"/>
          <w:kern w:val="0"/>
          <w:sz w:val="32"/>
          <w:szCs w:val="32"/>
          <w:highlight w:val="none"/>
          <w:u w:val="none"/>
          <w:lang w:val="en-US" w:eastAsia="zh-CN" w:bidi="ar"/>
        </w:rPr>
        <w:t>2025年3月底。</w:t>
      </w:r>
    </w:p>
    <w:p w14:paraId="5A6FD1FC">
      <w:pPr>
        <w:keepNext w:val="0"/>
        <w:keepLines w:val="0"/>
        <w:pageBreakBefore w:val="0"/>
        <w:widowControl w:val="0"/>
        <w:kinsoku/>
        <w:wordWrap/>
        <w:overflowPunct w:val="0"/>
        <w:topLinePunct w:val="0"/>
        <w:bidi w:val="0"/>
        <w:spacing w:line="580" w:lineRule="exact"/>
        <w:ind w:firstLine="640" w:firstLineChars="200"/>
        <w:jc w:val="both"/>
        <w:outlineLvl w:val="9"/>
        <w:rPr>
          <w:rFonts w:hint="eastAsia" w:ascii="方正小标宋简体" w:hAnsi="方正小标宋简体" w:eastAsia="楷体_GB2312" w:cs="方正小标宋简体"/>
          <w:color w:val="auto"/>
          <w:sz w:val="32"/>
          <w:szCs w:val="32"/>
          <w:highlight w:val="none"/>
          <w:lang w:val="en-US" w:eastAsia="zh-CN"/>
        </w:rPr>
      </w:pPr>
      <w:r>
        <w:rPr>
          <w:rFonts w:hint="eastAsia" w:ascii="楷体_GB2312" w:hAnsi="楷体_GB2312" w:eastAsia="楷体_GB2312" w:cs="楷体_GB2312"/>
          <w:color w:val="auto"/>
          <w:sz w:val="32"/>
          <w:szCs w:val="32"/>
          <w:highlight w:val="none"/>
        </w:rPr>
        <w:t>整改进展：</w:t>
      </w:r>
      <w:r>
        <w:rPr>
          <w:rFonts w:hint="eastAsia" w:ascii="仿宋_GB2312" w:hAnsi="仿宋_GB2312" w:eastAsia="仿宋_GB2312" w:cs="仿宋_GB2312"/>
          <w:color w:val="auto"/>
          <w:kern w:val="2"/>
          <w:sz w:val="32"/>
          <w:szCs w:val="32"/>
          <w:highlight w:val="none"/>
          <w:lang w:val="en-US" w:eastAsia="zh-CN" w:bidi="ar-SA"/>
        </w:rPr>
        <w:t>已完成整改。</w:t>
      </w:r>
    </w:p>
    <w:bookmarkEnd w:id="22"/>
    <w:p w14:paraId="7438B99A">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已在《池州市建筑垃圾污染环境防治工作规划（2024-2035年）》中落实工程渣土消纳场所布局工作。</w:t>
      </w:r>
    </w:p>
    <w:p w14:paraId="47B4A50C">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黑体" w:hAnsi="黑体" w:eastAsia="黑体" w:cs="黑体"/>
          <w:color w:val="auto"/>
          <w:kern w:val="0"/>
          <w:sz w:val="32"/>
          <w:szCs w:val="32"/>
          <w:highlight w:val="none"/>
          <w:lang w:val="en-US" w:eastAsia="zh-CN" w:bidi="ar"/>
        </w:rPr>
      </w:pPr>
      <w:r>
        <w:rPr>
          <w:rFonts w:hint="eastAsia" w:ascii="黑体" w:hAnsi="黑体" w:eastAsia="黑体" w:cs="黑体"/>
          <w:color w:val="auto"/>
          <w:kern w:val="0"/>
          <w:sz w:val="32"/>
          <w:szCs w:val="32"/>
          <w:highlight w:val="none"/>
          <w:lang w:val="en-US" w:eastAsia="zh-CN" w:bidi="ar"/>
        </w:rPr>
        <w:t>十四、汪矶湖是前江工业园区规划的生态防护区，水域面积93.15亩。督察发现，自2020年以来，该湖被违规填埋工程弃土约44万方，生态防护区功能丧失。</w:t>
      </w:r>
    </w:p>
    <w:p w14:paraId="5D02CE11">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rPr>
      </w:pPr>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i w:val="0"/>
          <w:iCs w:val="0"/>
          <w:color w:val="auto"/>
          <w:kern w:val="0"/>
          <w:sz w:val="32"/>
          <w:szCs w:val="32"/>
          <w:highlight w:val="none"/>
          <w:u w:val="none"/>
          <w:lang w:val="en-US" w:eastAsia="zh-CN" w:bidi="ar"/>
        </w:rPr>
        <w:t>2025年6月底。</w:t>
      </w:r>
    </w:p>
    <w:p w14:paraId="0F243074">
      <w:pPr>
        <w:keepNext w:val="0"/>
        <w:keepLines w:val="0"/>
        <w:pageBreakBefore w:val="0"/>
        <w:widowControl w:val="0"/>
        <w:kinsoku/>
        <w:wordWrap/>
        <w:overflowPunct w:val="0"/>
        <w:topLinePunct w:val="0"/>
        <w:bidi w:val="0"/>
        <w:spacing w:line="580" w:lineRule="exact"/>
        <w:ind w:firstLine="640" w:firstLineChars="200"/>
        <w:jc w:val="both"/>
        <w:outlineLvl w:val="9"/>
        <w:rPr>
          <w:rFonts w:hint="eastAsia" w:ascii="方正小标宋简体" w:hAnsi="方正小标宋简体" w:eastAsia="楷体_GB2312" w:cs="方正小标宋简体"/>
          <w:color w:val="auto"/>
          <w:sz w:val="32"/>
          <w:szCs w:val="32"/>
          <w:highlight w:val="none"/>
          <w:lang w:val="en-US" w:eastAsia="zh-CN"/>
        </w:rPr>
      </w:pPr>
      <w:r>
        <w:rPr>
          <w:rFonts w:hint="eastAsia" w:ascii="楷体_GB2312" w:hAnsi="楷体_GB2312" w:eastAsia="楷体_GB2312" w:cs="楷体_GB2312"/>
          <w:color w:val="auto"/>
          <w:sz w:val="32"/>
          <w:szCs w:val="32"/>
          <w:highlight w:val="none"/>
        </w:rPr>
        <w:t>整改进展：</w:t>
      </w:r>
      <w:r>
        <w:rPr>
          <w:rFonts w:hint="eastAsia" w:ascii="仿宋_GB2312" w:hAnsi="仿宋_GB2312" w:eastAsia="仿宋_GB2312" w:cs="仿宋_GB2312"/>
          <w:color w:val="auto"/>
          <w:kern w:val="2"/>
          <w:sz w:val="32"/>
          <w:szCs w:val="32"/>
          <w:highlight w:val="none"/>
          <w:lang w:val="en-US" w:eastAsia="zh-CN" w:bidi="ar-SA"/>
        </w:rPr>
        <w:t>已完成整改。</w:t>
      </w:r>
    </w:p>
    <w:p w14:paraId="2D8559DE">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1.2024年8月对汪矶湖区域开展土壤和地下水监测，检测结果显示，汪矶湖区域土壤满足《土壤环境质量 建设用地土壤污染风险管控标准（试行)》（GB36600-2018）二类筛选值标准限值要求，地下水水质满足《地下水质量标准》（GB/T14848-93）Ⅲ类水标准限值要求。</w:t>
      </w:r>
    </w:p>
    <w:p w14:paraId="6CC68F7C">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2.汪矶湖地块开挖工程于2025年5月20日全部完工。弃土处置去向分别为安徽池州海螺水泥股份有限公司综合利用、升金湖泵站土方填充等。池州高新区汪矶湖地块弃土转运项目已获得建筑垃圾（工程渣土）许可处置手续。</w:t>
      </w:r>
    </w:p>
    <w:p w14:paraId="551A5417">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3.池州高新区委托第三方专业测绘机构于2025年5月28日对汪矶湖水面面积进行测绘，实测汪矶湖已恢复自然水面105.83亩。</w:t>
      </w:r>
    </w:p>
    <w:p w14:paraId="7D59AFA8">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黑体" w:hAnsi="黑体" w:eastAsia="黑体" w:cs="黑体"/>
          <w:color w:val="auto"/>
          <w:kern w:val="0"/>
          <w:sz w:val="32"/>
          <w:szCs w:val="32"/>
          <w:highlight w:val="none"/>
          <w:lang w:val="en-US" w:eastAsia="zh-CN" w:bidi="ar"/>
        </w:rPr>
      </w:pPr>
      <w:r>
        <w:rPr>
          <w:rFonts w:hint="eastAsia" w:ascii="黑体" w:hAnsi="黑体" w:eastAsia="黑体" w:cs="黑体"/>
          <w:color w:val="auto"/>
          <w:kern w:val="0"/>
          <w:sz w:val="32"/>
          <w:szCs w:val="32"/>
          <w:highlight w:val="none"/>
          <w:lang w:val="en-US" w:eastAsia="zh-CN" w:bidi="ar"/>
        </w:rPr>
        <w:t>十五、大量拆迁建筑垃圾堆放在场地内未得到处理。池州绿源建筑废弃资源综合利用有限公司是主城区内唯一的建筑装潢垃圾处置机构，但分拣破碎装置无任何污染防治设施。</w:t>
      </w:r>
    </w:p>
    <w:p w14:paraId="03EBE139">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rPr>
      </w:pPr>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i w:val="0"/>
          <w:iCs w:val="0"/>
          <w:color w:val="auto"/>
          <w:kern w:val="0"/>
          <w:sz w:val="32"/>
          <w:szCs w:val="32"/>
          <w:highlight w:val="none"/>
          <w:u w:val="none"/>
          <w:lang w:val="en-US" w:eastAsia="zh-CN" w:bidi="ar"/>
        </w:rPr>
        <w:t>2025年6月底。</w:t>
      </w:r>
    </w:p>
    <w:p w14:paraId="1206F4B8">
      <w:pPr>
        <w:keepNext w:val="0"/>
        <w:keepLines w:val="0"/>
        <w:pageBreakBefore w:val="0"/>
        <w:widowControl w:val="0"/>
        <w:kinsoku/>
        <w:wordWrap/>
        <w:overflowPunct w:val="0"/>
        <w:topLinePunct w:val="0"/>
        <w:autoSpaceDE/>
        <w:autoSpaceDN/>
        <w:bidi w:val="0"/>
        <w:adjustRightInd/>
        <w:snapToGrid/>
        <w:spacing w:line="580" w:lineRule="exact"/>
        <w:ind w:firstLine="640" w:firstLineChars="200"/>
        <w:jc w:val="both"/>
        <w:textAlignment w:val="auto"/>
        <w:outlineLvl w:val="9"/>
        <w:rPr>
          <w:rFonts w:hint="eastAsia" w:ascii="方正小标宋简体" w:hAnsi="方正小标宋简体" w:eastAsia="楷体_GB2312" w:cs="方正小标宋简体"/>
          <w:color w:val="auto"/>
          <w:sz w:val="32"/>
          <w:szCs w:val="32"/>
          <w:highlight w:val="none"/>
          <w:lang w:val="en-US" w:eastAsia="zh-CN"/>
        </w:rPr>
      </w:pPr>
      <w:r>
        <w:rPr>
          <w:rFonts w:hint="eastAsia" w:ascii="楷体_GB2312" w:hAnsi="楷体_GB2312" w:eastAsia="楷体_GB2312" w:cs="楷体_GB2312"/>
          <w:color w:val="auto"/>
          <w:sz w:val="32"/>
          <w:szCs w:val="32"/>
          <w:highlight w:val="none"/>
        </w:rPr>
        <w:t>整改进展：</w:t>
      </w:r>
      <w:r>
        <w:rPr>
          <w:rFonts w:hint="eastAsia" w:ascii="仿宋_GB2312" w:hAnsi="仿宋_GB2312" w:eastAsia="仿宋_GB2312" w:cs="仿宋_GB2312"/>
          <w:color w:val="auto"/>
          <w:kern w:val="2"/>
          <w:sz w:val="32"/>
          <w:szCs w:val="32"/>
          <w:highlight w:val="none"/>
          <w:lang w:val="en-US" w:eastAsia="zh-CN" w:bidi="ar-SA"/>
        </w:rPr>
        <w:t>已完成整改。</w:t>
      </w:r>
    </w:p>
    <w:p w14:paraId="1BC3BAF0">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1.</w:t>
      </w:r>
      <w:r>
        <w:rPr>
          <w:rFonts w:hint="eastAsia" w:ascii="仿宋_GB2312" w:hAnsi="仿宋_GB2312" w:eastAsia="仿宋_GB2312" w:cs="仿宋_GB2312"/>
          <w:color w:val="auto"/>
          <w:kern w:val="0"/>
          <w:sz w:val="32"/>
          <w:szCs w:val="32"/>
          <w:highlight w:val="none"/>
          <w:u w:val="none"/>
          <w:lang w:val="en-US" w:eastAsia="zh-CN" w:bidi="ar"/>
        </w:rPr>
        <w:t>已对该企业环境违法行为进行查处。</w:t>
      </w:r>
    </w:p>
    <w:p w14:paraId="766D8F55">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2.已清理存量拆迁建筑垃圾和建筑装潢垃圾并规范处置。</w:t>
      </w:r>
    </w:p>
    <w:p w14:paraId="47878E32">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3.完成分拣破碎生产线进行整治。</w:t>
      </w:r>
    </w:p>
    <w:p w14:paraId="286116DF">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黑体" w:hAnsi="黑体" w:eastAsia="黑体" w:cs="黑体"/>
          <w:color w:val="auto"/>
          <w:kern w:val="0"/>
          <w:sz w:val="32"/>
          <w:szCs w:val="32"/>
          <w:highlight w:val="none"/>
          <w:lang w:val="en-US" w:eastAsia="zh-CN" w:bidi="ar"/>
        </w:rPr>
      </w:pPr>
      <w:r>
        <w:rPr>
          <w:rFonts w:hint="eastAsia" w:ascii="黑体" w:hAnsi="黑体" w:eastAsia="黑体" w:cs="黑体"/>
          <w:color w:val="auto"/>
          <w:kern w:val="0"/>
          <w:sz w:val="32"/>
          <w:szCs w:val="32"/>
          <w:highlight w:val="none"/>
          <w:lang w:val="en-US" w:eastAsia="zh-CN" w:bidi="ar"/>
        </w:rPr>
        <w:t>十六、东至县新民建筑垃圾再生利用有限公司厂区内无任何建筑垃圾分拣设备，不具备建筑垃圾回收再利用条件，却以“综合利用”名义违规从事石料破碎加工。</w:t>
      </w:r>
    </w:p>
    <w:p w14:paraId="1E507CAF">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rPr>
      </w:pPr>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i w:val="0"/>
          <w:iCs w:val="0"/>
          <w:color w:val="auto"/>
          <w:kern w:val="0"/>
          <w:sz w:val="32"/>
          <w:szCs w:val="32"/>
          <w:highlight w:val="none"/>
          <w:u w:val="none"/>
          <w:lang w:val="en-US" w:eastAsia="zh-CN" w:bidi="ar"/>
        </w:rPr>
        <w:t>2025年3月底。</w:t>
      </w:r>
    </w:p>
    <w:p w14:paraId="08A10FF5">
      <w:pPr>
        <w:keepNext w:val="0"/>
        <w:keepLines w:val="0"/>
        <w:pageBreakBefore w:val="0"/>
        <w:widowControl w:val="0"/>
        <w:kinsoku/>
        <w:wordWrap/>
        <w:overflowPunct w:val="0"/>
        <w:topLinePunct w:val="0"/>
        <w:bidi w:val="0"/>
        <w:spacing w:line="580" w:lineRule="exact"/>
        <w:ind w:firstLine="640" w:firstLineChars="200"/>
        <w:jc w:val="both"/>
        <w:outlineLvl w:val="9"/>
        <w:rPr>
          <w:rFonts w:hint="eastAsia" w:ascii="方正小标宋简体" w:hAnsi="方正小标宋简体" w:eastAsia="楷体_GB2312" w:cs="方正小标宋简体"/>
          <w:color w:val="auto"/>
          <w:sz w:val="32"/>
          <w:szCs w:val="32"/>
          <w:highlight w:val="none"/>
          <w:lang w:val="en-US" w:eastAsia="zh-CN"/>
        </w:rPr>
      </w:pPr>
      <w:r>
        <w:rPr>
          <w:rFonts w:hint="eastAsia" w:ascii="楷体_GB2312" w:hAnsi="楷体_GB2312" w:eastAsia="楷体_GB2312" w:cs="楷体_GB2312"/>
          <w:color w:val="auto"/>
          <w:sz w:val="32"/>
          <w:szCs w:val="32"/>
          <w:highlight w:val="none"/>
        </w:rPr>
        <w:t>整改进展：</w:t>
      </w:r>
      <w:r>
        <w:rPr>
          <w:rFonts w:hint="eastAsia" w:ascii="仿宋_GB2312" w:hAnsi="仿宋_GB2312" w:eastAsia="仿宋_GB2312" w:cs="仿宋_GB2312"/>
          <w:color w:val="auto"/>
          <w:kern w:val="2"/>
          <w:sz w:val="32"/>
          <w:szCs w:val="32"/>
          <w:highlight w:val="none"/>
          <w:lang w:val="en-US" w:eastAsia="zh-CN" w:bidi="ar-SA"/>
        </w:rPr>
        <w:t>已完成整改。</w:t>
      </w:r>
    </w:p>
    <w:p w14:paraId="38E8692D">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color w:val="auto"/>
          <w:kern w:val="0"/>
          <w:sz w:val="32"/>
          <w:szCs w:val="32"/>
          <w:highlight w:val="none"/>
          <w:u w:val="none"/>
          <w:lang w:val="en-US" w:eastAsia="zh-CN" w:bidi="ar"/>
        </w:rPr>
        <w:t>已责令该企业规范处置存量建筑垃圾，并完善相关台账，完成相关问题整改。</w:t>
      </w:r>
    </w:p>
    <w:p w14:paraId="12C92E9B">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黑体" w:hAnsi="黑体" w:eastAsia="黑体" w:cs="黑体"/>
          <w:color w:val="auto"/>
          <w:kern w:val="0"/>
          <w:sz w:val="32"/>
          <w:szCs w:val="32"/>
          <w:highlight w:val="none"/>
          <w:lang w:val="en-US" w:eastAsia="zh-CN" w:bidi="ar"/>
        </w:rPr>
      </w:pPr>
      <w:r>
        <w:rPr>
          <w:rFonts w:hint="eastAsia" w:ascii="黑体" w:hAnsi="黑体" w:eastAsia="黑体" w:cs="黑体"/>
          <w:color w:val="auto"/>
          <w:kern w:val="0"/>
          <w:sz w:val="32"/>
          <w:szCs w:val="32"/>
          <w:highlight w:val="none"/>
          <w:lang w:val="en-US" w:eastAsia="zh-CN" w:bidi="ar"/>
        </w:rPr>
        <w:t>十七、我省已开展多轮次建筑垃圾排查和专项整治工作，池州市城管部门工作滞后。池州长江大桥西南侧左家墩附近，东至县尧渡镇滨湖园区内，石台县仁里镇杜村村下湾组伍石路旁等场地堆放、倾倒建筑垃圾，未得到处置。</w:t>
      </w:r>
    </w:p>
    <w:p w14:paraId="1DE9B9BC">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rPr>
      </w:pPr>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i w:val="0"/>
          <w:iCs w:val="0"/>
          <w:color w:val="auto"/>
          <w:kern w:val="0"/>
          <w:sz w:val="32"/>
          <w:szCs w:val="32"/>
          <w:highlight w:val="none"/>
          <w:u w:val="none"/>
          <w:lang w:val="en-US" w:eastAsia="zh-CN" w:bidi="ar"/>
        </w:rPr>
        <w:t>2025年6月底。</w:t>
      </w:r>
    </w:p>
    <w:p w14:paraId="2F3057D9">
      <w:pPr>
        <w:keepNext w:val="0"/>
        <w:keepLines w:val="0"/>
        <w:pageBreakBefore w:val="0"/>
        <w:widowControl w:val="0"/>
        <w:kinsoku/>
        <w:wordWrap/>
        <w:overflowPunct w:val="0"/>
        <w:topLinePunct w:val="0"/>
        <w:autoSpaceDE/>
        <w:autoSpaceDN/>
        <w:bidi w:val="0"/>
        <w:adjustRightInd/>
        <w:snapToGrid/>
        <w:spacing w:line="580" w:lineRule="exact"/>
        <w:ind w:firstLine="640" w:firstLineChars="200"/>
        <w:jc w:val="both"/>
        <w:textAlignment w:val="auto"/>
        <w:outlineLvl w:val="9"/>
        <w:rPr>
          <w:rFonts w:hint="eastAsia" w:ascii="方正小标宋简体" w:hAnsi="方正小标宋简体" w:eastAsia="楷体_GB2312" w:cs="方正小标宋简体"/>
          <w:color w:val="auto"/>
          <w:sz w:val="32"/>
          <w:szCs w:val="32"/>
          <w:highlight w:val="none"/>
          <w:lang w:val="en-US" w:eastAsia="zh-CN"/>
        </w:rPr>
      </w:pPr>
      <w:r>
        <w:rPr>
          <w:rFonts w:hint="eastAsia" w:ascii="楷体_GB2312" w:hAnsi="楷体_GB2312" w:eastAsia="楷体_GB2312" w:cs="楷体_GB2312"/>
          <w:color w:val="auto"/>
          <w:sz w:val="32"/>
          <w:szCs w:val="32"/>
          <w:highlight w:val="none"/>
        </w:rPr>
        <w:t>整改进展：</w:t>
      </w:r>
      <w:r>
        <w:rPr>
          <w:rFonts w:hint="eastAsia" w:ascii="仿宋_GB2312" w:hAnsi="仿宋_GB2312" w:eastAsia="仿宋_GB2312" w:cs="仿宋_GB2312"/>
          <w:color w:val="auto"/>
          <w:kern w:val="2"/>
          <w:sz w:val="32"/>
          <w:szCs w:val="32"/>
          <w:highlight w:val="none"/>
          <w:lang w:val="en-US" w:eastAsia="zh-CN" w:bidi="ar-SA"/>
        </w:rPr>
        <w:t>已完成整改。</w:t>
      </w:r>
    </w:p>
    <w:p w14:paraId="2F491E09">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1.各相关县区已对池州长江大桥西南侧左家墩附近，东至县尧渡镇滨湖园区内，石台县仁里镇杜村村下湾组伍石路旁等场地堆放、倾倒的建筑垃圾进行清理并规范处置。</w:t>
      </w:r>
    </w:p>
    <w:p w14:paraId="57DED152">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2.市城市管理局联合市发改委等九部门印发《关于进一步推进全市建筑垃圾专项整治工作的通知》，深入排查整治建筑垃圾管理各环节存在的突出问题，严厉打击建筑垃圾违法违规行为，完成建筑垃圾乱堆乱放问题点位整改。</w:t>
      </w:r>
    </w:p>
    <w:p w14:paraId="0FE77DEE">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3.加强建筑垃圾运输企业监管力度，2025年以来推动213辆运输车辆规范配置定位系统，同步完成265个建筑垃圾处置项目方案编制及备案。</w:t>
      </w:r>
    </w:p>
    <w:p w14:paraId="14A7655B">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黑体" w:hAnsi="黑体" w:eastAsia="黑体" w:cs="黑体"/>
          <w:color w:val="auto"/>
          <w:kern w:val="0"/>
          <w:sz w:val="32"/>
          <w:szCs w:val="32"/>
          <w:highlight w:val="none"/>
          <w:lang w:val="en-US" w:eastAsia="zh-CN" w:bidi="ar"/>
        </w:rPr>
      </w:pPr>
      <w:r>
        <w:rPr>
          <w:rFonts w:hint="eastAsia" w:ascii="黑体" w:hAnsi="黑体" w:eastAsia="黑体" w:cs="黑体"/>
          <w:color w:val="auto"/>
          <w:kern w:val="0"/>
          <w:sz w:val="32"/>
          <w:szCs w:val="32"/>
          <w:highlight w:val="none"/>
          <w:lang w:val="en-US" w:eastAsia="zh-CN" w:bidi="ar"/>
        </w:rPr>
        <w:t>十八、部分建筑垃圾堆放点甚至位于平天湖国家湿地公园、石台溶洞群国家地质公园、秋浦仙境省级风景名胜区等区域，自然生态环境遭到破坏。</w:t>
      </w:r>
    </w:p>
    <w:p w14:paraId="31815708">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rPr>
      </w:pPr>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i w:val="0"/>
          <w:iCs w:val="0"/>
          <w:color w:val="auto"/>
          <w:kern w:val="0"/>
          <w:sz w:val="32"/>
          <w:szCs w:val="32"/>
          <w:highlight w:val="none"/>
          <w:u w:val="none"/>
          <w:lang w:val="en-US" w:eastAsia="zh-CN" w:bidi="ar"/>
        </w:rPr>
        <w:t>2025年6月底。</w:t>
      </w:r>
    </w:p>
    <w:p w14:paraId="100C15EC">
      <w:pPr>
        <w:keepNext w:val="0"/>
        <w:keepLines w:val="0"/>
        <w:pageBreakBefore w:val="0"/>
        <w:widowControl w:val="0"/>
        <w:kinsoku/>
        <w:wordWrap/>
        <w:overflowPunct w:val="0"/>
        <w:topLinePunct w:val="0"/>
        <w:autoSpaceDE/>
        <w:autoSpaceDN/>
        <w:bidi w:val="0"/>
        <w:adjustRightInd/>
        <w:snapToGrid/>
        <w:spacing w:line="580" w:lineRule="exact"/>
        <w:ind w:firstLine="640" w:firstLineChars="200"/>
        <w:jc w:val="both"/>
        <w:textAlignment w:val="auto"/>
        <w:outlineLvl w:val="9"/>
        <w:rPr>
          <w:rFonts w:hint="eastAsia" w:ascii="方正小标宋简体" w:hAnsi="方正小标宋简体" w:eastAsia="楷体_GB2312" w:cs="方正小标宋简体"/>
          <w:color w:val="auto"/>
          <w:sz w:val="32"/>
          <w:szCs w:val="32"/>
          <w:highlight w:val="none"/>
          <w:lang w:val="en-US" w:eastAsia="zh-CN"/>
        </w:rPr>
      </w:pPr>
      <w:r>
        <w:rPr>
          <w:rFonts w:hint="eastAsia" w:ascii="楷体_GB2312" w:hAnsi="楷体_GB2312" w:eastAsia="楷体_GB2312" w:cs="楷体_GB2312"/>
          <w:color w:val="auto"/>
          <w:sz w:val="32"/>
          <w:szCs w:val="32"/>
          <w:highlight w:val="none"/>
        </w:rPr>
        <w:t>整改进展：</w:t>
      </w:r>
      <w:r>
        <w:rPr>
          <w:rFonts w:hint="eastAsia" w:ascii="仿宋_GB2312" w:hAnsi="仿宋_GB2312" w:eastAsia="仿宋_GB2312" w:cs="仿宋_GB2312"/>
          <w:color w:val="auto"/>
          <w:kern w:val="2"/>
          <w:sz w:val="32"/>
          <w:szCs w:val="32"/>
          <w:highlight w:val="none"/>
          <w:lang w:val="en-US" w:eastAsia="zh-CN" w:bidi="ar-SA"/>
        </w:rPr>
        <w:t>已完成整改。</w:t>
      </w:r>
    </w:p>
    <w:p w14:paraId="49008CD3">
      <w:pPr>
        <w:pStyle w:val="22"/>
        <w:keepNext w:val="0"/>
        <w:keepLines w:val="0"/>
        <w:pageBreakBefore w:val="0"/>
        <w:widowControl w:val="0"/>
        <w:kinsoku/>
        <w:wordWrap/>
        <w:overflowPunct w:val="0"/>
        <w:topLinePunct w:val="0"/>
        <w:bidi w:val="0"/>
        <w:spacing w:line="580" w:lineRule="exact"/>
        <w:ind w:firstLine="640" w:firstLineChars="200"/>
        <w:jc w:val="both"/>
        <w:outlineLvl w:val="9"/>
        <w:rPr>
          <w:rFonts w:hint="default" w:ascii="仿宋_GB2312" w:hAnsi="仿宋_GB2312" w:eastAsia="仿宋_GB2312" w:cs="仿宋_GB2312"/>
          <w:color w:val="auto"/>
          <w:w w:val="100"/>
          <w:sz w:val="32"/>
          <w:szCs w:val="32"/>
          <w:highlight w:val="none"/>
          <w:vertAlign w:val="baseline"/>
          <w:lang w:val="en-US" w:eastAsia="zh-CN"/>
        </w:rPr>
      </w:pPr>
      <w:r>
        <w:rPr>
          <w:rFonts w:hint="eastAsia" w:ascii="仿宋_GB2312" w:hAnsi="仿宋_GB2312" w:eastAsia="仿宋_GB2312" w:cs="仿宋_GB2312"/>
          <w:color w:val="auto"/>
          <w:w w:val="100"/>
          <w:sz w:val="32"/>
          <w:szCs w:val="32"/>
          <w:highlight w:val="none"/>
          <w:vertAlign w:val="baseline"/>
          <w:lang w:val="en-US" w:eastAsia="zh-CN"/>
        </w:rPr>
        <w:t>1.已建立平天湖国家湿地公园建筑垃圾联合监管机制和自然保护地生态环境问题排查整改机制，形成常态化治理框架。截至2025年</w:t>
      </w:r>
      <w:r>
        <w:rPr>
          <w:rFonts w:hint="eastAsia" w:ascii="仿宋_GB2312" w:hAnsi="仿宋_GB2312" w:eastAsia="仿宋_GB2312" w:cs="仿宋_GB2312"/>
          <w:i w:val="0"/>
          <w:iCs w:val="0"/>
          <w:color w:val="auto"/>
          <w:kern w:val="0"/>
          <w:sz w:val="32"/>
          <w:szCs w:val="32"/>
          <w:highlight w:val="none"/>
          <w:u w:val="none"/>
          <w:lang w:val="en-US" w:eastAsia="zh-CN" w:bidi="ar"/>
        </w:rPr>
        <w:t>6月底</w:t>
      </w:r>
      <w:r>
        <w:rPr>
          <w:rFonts w:hint="eastAsia" w:ascii="仿宋_GB2312" w:hAnsi="仿宋_GB2312" w:eastAsia="仿宋_GB2312" w:cs="仿宋_GB2312"/>
          <w:color w:val="auto"/>
          <w:w w:val="100"/>
          <w:sz w:val="32"/>
          <w:szCs w:val="32"/>
          <w:highlight w:val="none"/>
          <w:vertAlign w:val="baseline"/>
          <w:lang w:val="en-US" w:eastAsia="zh-CN"/>
        </w:rPr>
        <w:t>，完成湿地公园内建筑垃圾清理。建立长效管理措施，建立“发现-处置-反馈”闭环管理流程，确保生态环境问题及时发现、即时整改，持续巩固治理成果。</w:t>
      </w:r>
    </w:p>
    <w:p w14:paraId="0FFEA662">
      <w:pPr>
        <w:pStyle w:val="23"/>
        <w:keepNext w:val="0"/>
        <w:keepLines w:val="0"/>
        <w:pageBreakBefore w:val="0"/>
        <w:widowControl w:val="0"/>
        <w:kinsoku/>
        <w:wordWrap/>
        <w:overflowPunct w:val="0"/>
        <w:topLinePunct w:val="0"/>
        <w:bidi w:val="0"/>
        <w:spacing w:line="580" w:lineRule="exact"/>
        <w:ind w:left="0" w:leftChars="0" w:firstLine="640" w:firstLineChars="200"/>
        <w:jc w:val="both"/>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2.秋浦仙境省级风景名胜区倾倒的建筑垃圾已清理并规范处置。建立健全自然保护地内生态环境问题排查整改机制，管理机构已加强日常巡查巡护，发现的问题已全部完成整改。</w:t>
      </w:r>
    </w:p>
    <w:p w14:paraId="14467E51">
      <w:pPr>
        <w:pStyle w:val="23"/>
        <w:keepNext w:val="0"/>
        <w:keepLines w:val="0"/>
        <w:pageBreakBefore w:val="0"/>
        <w:widowControl w:val="0"/>
        <w:kinsoku/>
        <w:wordWrap/>
        <w:overflowPunct w:val="0"/>
        <w:topLinePunct w:val="0"/>
        <w:bidi w:val="0"/>
        <w:spacing w:line="580" w:lineRule="exact"/>
        <w:ind w:left="0" w:leftChars="0" w:firstLine="640" w:firstLineChars="200"/>
        <w:jc w:val="both"/>
        <w:outlineLvl w:val="9"/>
        <w:rPr>
          <w:rFonts w:hint="default"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3.石台溶洞群国家地质公园内倾倒的建筑垃圾已清理并规范处置。印发《石台县自然保护地生态环境问题排查整治工作机制（试行）》《石台县建筑垃圾污染防治工作规划（2024-2035年）》《石台县建筑垃圾管理专项整治行动方案》，建立健全自然保护地内生态环境问题排查整改机制。</w:t>
      </w:r>
    </w:p>
    <w:p w14:paraId="344EC5F4">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黑体" w:hAnsi="黑体" w:eastAsia="黑体" w:cs="黑体"/>
          <w:color w:val="auto"/>
          <w:kern w:val="0"/>
          <w:sz w:val="32"/>
          <w:szCs w:val="32"/>
          <w:highlight w:val="none"/>
          <w:lang w:val="en-US" w:eastAsia="zh-CN" w:bidi="ar"/>
        </w:rPr>
      </w:pPr>
      <w:r>
        <w:rPr>
          <w:rFonts w:hint="eastAsia" w:ascii="黑体" w:hAnsi="黑体" w:eastAsia="黑体" w:cs="黑体"/>
          <w:color w:val="auto"/>
          <w:kern w:val="0"/>
          <w:sz w:val="32"/>
          <w:szCs w:val="32"/>
          <w:highlight w:val="none"/>
          <w:lang w:val="en-US" w:eastAsia="zh-CN" w:bidi="ar"/>
        </w:rPr>
        <w:t>十九、林地保护不力。林业发展规划未落实。池州市是安徽省重点林区之一，《池州市林业发展“十四五”规划》明确了“十四五”期间应实施的森林生态体系建设工程、林业保障体系建设工程等多个重点项目。督察发现，一些项目推进严重滞后。长江经济带珍稀树种保护和发展项目要求培育珍稀树种造林11.04万亩，实施时限2021—2023年，目前完成4.62万亩，完成率41.9%。国家储备林项目要求建设规模30万亩，实施时限2022—2024年，目前仅完成0.64万亩，完成率2%。升金湖国际重要湿地保护工程等3个项目尚未开始建设。</w:t>
      </w:r>
    </w:p>
    <w:p w14:paraId="1A1BE7F3">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rPr>
      </w:pPr>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i w:val="0"/>
          <w:iCs w:val="0"/>
          <w:color w:val="auto"/>
          <w:kern w:val="0"/>
          <w:sz w:val="32"/>
          <w:szCs w:val="32"/>
          <w:highlight w:val="none"/>
          <w:u w:val="none"/>
          <w:lang w:val="en-US" w:eastAsia="zh-CN" w:bidi="ar"/>
        </w:rPr>
        <w:t>2025年底取得阶段性成效，并长期坚持。</w:t>
      </w:r>
    </w:p>
    <w:p w14:paraId="0C004461">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楷体_GB2312" w:hAnsi="楷体_GB2312" w:eastAsia="楷体_GB2312" w:cs="楷体_GB2312"/>
          <w:color w:val="auto"/>
          <w:sz w:val="32"/>
          <w:szCs w:val="32"/>
          <w:highlight w:val="none"/>
        </w:rPr>
        <w:t>整改进展：</w:t>
      </w:r>
      <w:r>
        <w:rPr>
          <w:rFonts w:hint="eastAsia" w:ascii="仿宋_GB2312" w:hAnsi="仿宋_GB2312" w:eastAsia="仿宋_GB2312" w:cs="仿宋_GB2312"/>
          <w:color w:val="auto"/>
          <w:kern w:val="2"/>
          <w:sz w:val="32"/>
          <w:szCs w:val="32"/>
          <w:highlight w:val="none"/>
          <w:lang w:val="en-US" w:eastAsia="zh-CN" w:bidi="ar-SA"/>
        </w:rPr>
        <w:t>已完成整改。</w:t>
      </w:r>
    </w:p>
    <w:p w14:paraId="779A6FFF">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bookmarkStart w:id="23" w:name="OLE_LINK74"/>
      <w:r>
        <w:rPr>
          <w:rFonts w:hint="eastAsia" w:ascii="仿宋_GB2312" w:hAnsi="仿宋_GB2312" w:eastAsia="仿宋_GB2312" w:cs="仿宋_GB2312"/>
          <w:i w:val="0"/>
          <w:iCs w:val="0"/>
          <w:color w:val="auto"/>
          <w:kern w:val="0"/>
          <w:sz w:val="32"/>
          <w:szCs w:val="32"/>
          <w:highlight w:val="none"/>
          <w:u w:val="none"/>
          <w:lang w:val="en-US" w:eastAsia="zh-CN" w:bidi="ar"/>
        </w:rPr>
        <w:t>1.长江经济带珍稀树种保护和发展项目已完成建设面积11.04万亩，完成率100%。</w:t>
      </w:r>
    </w:p>
    <w:p w14:paraId="2229A0C6">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2.加快推进贵池区、东至县国家储备林一期首批各10万亩项目实施，已完成林地收储13.4万亩，营造林面积5.6万亩。</w:t>
      </w:r>
    </w:p>
    <w:p w14:paraId="18A4C9CE">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3.升金湖保护区完成了原项目规划的部分水生态修复、栖息地保护恢复、垃圾及有害物种清理、圩口统管、综合科考等工作，建设疫源疫病监测站、鸟类环志站、鸟类监测站等。</w:t>
      </w:r>
    </w:p>
    <w:bookmarkEnd w:id="23"/>
    <w:p w14:paraId="6FD74087">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黑体" w:hAnsi="黑体" w:eastAsia="黑体" w:cs="黑体"/>
          <w:color w:val="auto"/>
          <w:kern w:val="0"/>
          <w:sz w:val="32"/>
          <w:szCs w:val="32"/>
          <w:highlight w:val="none"/>
          <w:lang w:val="en-US" w:eastAsia="zh-CN" w:bidi="ar"/>
        </w:rPr>
      </w:pPr>
      <w:r>
        <w:rPr>
          <w:rFonts w:hint="eastAsia" w:ascii="黑体" w:hAnsi="黑体" w:eastAsia="黑体" w:cs="黑体"/>
          <w:color w:val="auto"/>
          <w:kern w:val="0"/>
          <w:sz w:val="32"/>
          <w:szCs w:val="32"/>
          <w:highlight w:val="none"/>
          <w:lang w:val="en-US" w:eastAsia="zh-CN" w:bidi="ar"/>
        </w:rPr>
        <w:t>二十、池州市各县区林地保护利用规划均于2020年到期，仍未启动修编。</w:t>
      </w:r>
    </w:p>
    <w:p w14:paraId="5F090720">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rPr>
      </w:pPr>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i w:val="0"/>
          <w:iCs w:val="0"/>
          <w:color w:val="auto"/>
          <w:kern w:val="0"/>
          <w:sz w:val="32"/>
          <w:szCs w:val="32"/>
          <w:highlight w:val="none"/>
          <w:u w:val="none"/>
          <w:lang w:val="en-US" w:eastAsia="zh-CN" w:bidi="ar"/>
        </w:rPr>
        <w:t>2026年底取得阶段性成效，并长期坚持。</w:t>
      </w:r>
    </w:p>
    <w:p w14:paraId="00E3167A">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楷体_GB2312" w:hAnsi="楷体_GB2312" w:eastAsia="楷体_GB2312" w:cs="楷体_GB2312"/>
          <w:color w:val="auto"/>
          <w:sz w:val="32"/>
          <w:szCs w:val="32"/>
          <w:highlight w:val="none"/>
          <w:u w:val="none" w:color="auto"/>
          <w:lang w:val="en-US" w:eastAsia="zh-CN"/>
        </w:rPr>
      </w:pPr>
      <w:r>
        <w:rPr>
          <w:rFonts w:hint="eastAsia" w:ascii="楷体_GB2312" w:hAnsi="楷体_GB2312" w:eastAsia="楷体_GB2312" w:cs="楷体_GB2312"/>
          <w:color w:val="auto"/>
          <w:sz w:val="32"/>
          <w:szCs w:val="32"/>
          <w:highlight w:val="none"/>
        </w:rPr>
        <w:t>整改进展：</w:t>
      </w:r>
      <w:r>
        <w:rPr>
          <w:rFonts w:hint="eastAsia" w:ascii="仿宋_GB2312" w:hAnsi="仿宋_GB2312" w:eastAsia="仿宋_GB2312" w:cs="仿宋_GB2312"/>
          <w:color w:val="auto"/>
          <w:kern w:val="2"/>
          <w:sz w:val="32"/>
          <w:szCs w:val="32"/>
          <w:highlight w:val="none"/>
          <w:lang w:val="en-US" w:eastAsia="zh-CN" w:bidi="ar-SA"/>
        </w:rPr>
        <w:t>已完成阶段性目标，继续推进。</w:t>
      </w:r>
    </w:p>
    <w:p w14:paraId="0A3CF822">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bookmarkStart w:id="24" w:name="OLE_LINK53"/>
      <w:r>
        <w:rPr>
          <w:rFonts w:hint="eastAsia" w:ascii="仿宋_GB2312" w:hAnsi="仿宋_GB2312" w:eastAsia="仿宋_GB2312" w:cs="仿宋_GB2312"/>
          <w:i w:val="0"/>
          <w:iCs w:val="0"/>
          <w:color w:val="auto"/>
          <w:kern w:val="0"/>
          <w:sz w:val="32"/>
          <w:szCs w:val="32"/>
          <w:highlight w:val="none"/>
          <w:u w:val="none"/>
          <w:lang w:val="en-US" w:eastAsia="zh-CN" w:bidi="ar"/>
        </w:rPr>
        <w:t xml:space="preserve">各县区均已启动新一轮林地保护利用规划编制工作，并明确编制单位，待统一的规划底图明确后，立即推进林地保护利用规划编制工作。 </w:t>
      </w:r>
    </w:p>
    <w:bookmarkEnd w:id="24"/>
    <w:p w14:paraId="664FE608">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黑体" w:hAnsi="黑体" w:eastAsia="黑体" w:cs="黑体"/>
          <w:color w:val="auto"/>
          <w:kern w:val="0"/>
          <w:sz w:val="32"/>
          <w:szCs w:val="32"/>
          <w:highlight w:val="none"/>
          <w:lang w:val="en-US" w:eastAsia="zh-CN" w:bidi="ar"/>
        </w:rPr>
      </w:pPr>
      <w:r>
        <w:rPr>
          <w:rFonts w:hint="eastAsia" w:ascii="黑体" w:hAnsi="黑体" w:eastAsia="黑体" w:cs="黑体"/>
          <w:color w:val="auto"/>
          <w:kern w:val="0"/>
          <w:sz w:val="32"/>
          <w:szCs w:val="32"/>
          <w:highlight w:val="none"/>
          <w:lang w:val="en-US" w:eastAsia="zh-CN" w:bidi="ar"/>
        </w:rPr>
        <w:t>二十一、公益林保护不到位。《国家级公益林管理办法》规定，国家级公益林地实行占补平衡。2022年以来，池州市54个建设项目共占用国家级公益林2686.5亩，目前仅补进153.45亩，占比5.7%。</w:t>
      </w:r>
    </w:p>
    <w:p w14:paraId="734428A9">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rPr>
      </w:pPr>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i w:val="0"/>
          <w:iCs w:val="0"/>
          <w:color w:val="auto"/>
          <w:kern w:val="0"/>
          <w:sz w:val="32"/>
          <w:szCs w:val="32"/>
          <w:highlight w:val="none"/>
          <w:u w:val="none"/>
          <w:lang w:val="en-US" w:eastAsia="zh-CN" w:bidi="ar"/>
        </w:rPr>
        <w:t>2026年底取得阶段性成效，并长期坚持。</w:t>
      </w:r>
    </w:p>
    <w:p w14:paraId="0E5A99D1">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楷体_GB2312" w:hAnsi="楷体_GB2312" w:eastAsia="楷体_GB2312" w:cs="楷体_GB2312"/>
          <w:color w:val="auto"/>
          <w:sz w:val="32"/>
          <w:szCs w:val="32"/>
          <w:highlight w:val="none"/>
          <w:u w:val="none" w:color="auto"/>
          <w:lang w:val="en-US" w:eastAsia="zh-CN"/>
        </w:rPr>
      </w:pPr>
      <w:r>
        <w:rPr>
          <w:rFonts w:hint="eastAsia" w:ascii="楷体_GB2312" w:hAnsi="楷体_GB2312" w:eastAsia="楷体_GB2312" w:cs="楷体_GB2312"/>
          <w:color w:val="auto"/>
          <w:sz w:val="32"/>
          <w:szCs w:val="32"/>
          <w:highlight w:val="none"/>
        </w:rPr>
        <w:t>整改进展：</w:t>
      </w:r>
      <w:r>
        <w:rPr>
          <w:rFonts w:hint="eastAsia" w:ascii="仿宋_GB2312" w:hAnsi="仿宋_GB2312" w:eastAsia="仿宋_GB2312" w:cs="仿宋_GB2312"/>
          <w:color w:val="auto"/>
          <w:kern w:val="2"/>
          <w:sz w:val="32"/>
          <w:szCs w:val="32"/>
          <w:highlight w:val="none"/>
          <w:lang w:val="en-US" w:eastAsia="zh-CN" w:bidi="ar-SA"/>
        </w:rPr>
        <w:t>已完成阶段性目标，继续推进。</w:t>
      </w:r>
    </w:p>
    <w:p w14:paraId="0809A154">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1.市林业局积极组织各地摸清底数，已完成梳理全市2022年-2024年建设项目占用国家级公益林情况。</w:t>
      </w:r>
    </w:p>
    <w:p w14:paraId="5269F53A">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2.根据《省林业局关于完善国家级和省级公益林数据的通知》要求，2022年至2024年经审核同意永久占用国家级或省级公益林地的，核减调出。已完成国家级公益林完善优化工作，建设项目占用国家级公益林按照要求核减调出，优化成果已上报省林业局。</w:t>
      </w:r>
    </w:p>
    <w:p w14:paraId="67F1E847">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right="0" w:rightChars="0" w:firstLine="640" w:firstLineChars="200"/>
        <w:jc w:val="both"/>
        <w:textAlignment w:val="auto"/>
        <w:outlineLvl w:val="9"/>
        <w:rPr>
          <w:rFonts w:hint="eastAsia" w:ascii="黑体" w:hAnsi="黑体" w:eastAsia="黑体" w:cs="黑体"/>
          <w:color w:val="auto"/>
          <w:kern w:val="0"/>
          <w:sz w:val="32"/>
          <w:szCs w:val="32"/>
          <w:highlight w:val="none"/>
          <w:lang w:val="en-US" w:eastAsia="zh-CN" w:bidi="ar"/>
        </w:rPr>
      </w:pPr>
      <w:r>
        <w:rPr>
          <w:rFonts w:hint="eastAsia" w:ascii="黑体" w:hAnsi="黑体" w:eastAsia="黑体" w:cs="黑体"/>
          <w:color w:val="auto"/>
          <w:kern w:val="0"/>
          <w:sz w:val="32"/>
          <w:szCs w:val="32"/>
          <w:highlight w:val="none"/>
          <w:lang w:val="en-US" w:eastAsia="zh-CN" w:bidi="ar"/>
        </w:rPr>
        <w:t>二十二、为实施青阳青源矿业有限公司小阳山冶金用白云岩矿年产600万吨项目和池州润杨新材料有限公司花园吴家冶镁用白云岩矿年产4000万吨项目，青阳县分别于2022年11月、2023年11月承诺对项目占用的622.2亩、659.86亩国家级公益林地实行异地调整，确保总量不减、动态平衡。但截至督察时，青阳县仍未履行承诺。</w:t>
      </w:r>
    </w:p>
    <w:p w14:paraId="56ABD9E6">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rPr>
      </w:pPr>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i w:val="0"/>
          <w:iCs w:val="0"/>
          <w:color w:val="auto"/>
          <w:kern w:val="0"/>
          <w:sz w:val="32"/>
          <w:szCs w:val="32"/>
          <w:highlight w:val="none"/>
          <w:u w:val="none"/>
          <w:lang w:val="en-US" w:eastAsia="zh-CN" w:bidi="ar"/>
        </w:rPr>
        <w:t>2026年底取得阶段性成效，并长期坚持。</w:t>
      </w:r>
    </w:p>
    <w:p w14:paraId="4CCC26EB">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楷体_GB2312" w:hAnsi="楷体_GB2312" w:eastAsia="楷体_GB2312" w:cs="楷体_GB2312"/>
          <w:color w:val="auto"/>
          <w:sz w:val="32"/>
          <w:szCs w:val="32"/>
          <w:highlight w:val="none"/>
          <w:u w:val="none" w:color="auto"/>
          <w:lang w:val="en-US" w:eastAsia="zh-CN"/>
        </w:rPr>
      </w:pPr>
      <w:r>
        <w:rPr>
          <w:rFonts w:hint="eastAsia" w:ascii="楷体_GB2312" w:hAnsi="楷体_GB2312" w:eastAsia="楷体_GB2312" w:cs="楷体_GB2312"/>
          <w:color w:val="auto"/>
          <w:sz w:val="32"/>
          <w:szCs w:val="32"/>
          <w:highlight w:val="none"/>
        </w:rPr>
        <w:t>整改进展：</w:t>
      </w:r>
      <w:r>
        <w:rPr>
          <w:rFonts w:hint="eastAsia" w:ascii="仿宋_GB2312" w:hAnsi="仿宋_GB2312" w:eastAsia="仿宋_GB2312" w:cs="仿宋_GB2312"/>
          <w:color w:val="auto"/>
          <w:kern w:val="2"/>
          <w:sz w:val="32"/>
          <w:szCs w:val="32"/>
          <w:highlight w:val="none"/>
          <w:lang w:val="en-US" w:eastAsia="zh-CN" w:bidi="ar-SA"/>
        </w:rPr>
        <w:t>已完成阶段性目标，继续推进。</w:t>
      </w:r>
    </w:p>
    <w:p w14:paraId="654431F6">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2"/>
          <w:sz w:val="32"/>
          <w:szCs w:val="32"/>
          <w:highlight w:val="none"/>
          <w:u w:val="none"/>
          <w:lang w:val="en-US" w:eastAsia="zh-CN" w:bidi="ar-SA"/>
        </w:rPr>
      </w:pPr>
      <w:r>
        <w:rPr>
          <w:rFonts w:hint="eastAsia" w:ascii="仿宋_GB2312" w:hAnsi="仿宋_GB2312" w:eastAsia="仿宋_GB2312" w:cs="仿宋_GB2312"/>
          <w:i w:val="0"/>
          <w:iCs w:val="0"/>
          <w:color w:val="auto"/>
          <w:kern w:val="2"/>
          <w:sz w:val="32"/>
          <w:szCs w:val="32"/>
          <w:highlight w:val="none"/>
          <w:u w:val="none"/>
          <w:lang w:val="en-US" w:eastAsia="zh-CN" w:bidi="ar-SA"/>
        </w:rPr>
        <w:t>根据《省林业局关于完善国家级和省级公益林数据的通知》，已将核减调出认定为占补平衡的合规解决方案，开展</w:t>
      </w:r>
      <w:r>
        <w:rPr>
          <w:rFonts w:hint="eastAsia" w:ascii="仿宋_GB2312" w:hAnsi="仿宋_GB2312" w:eastAsia="仿宋_GB2312" w:cs="仿宋_GB2312"/>
          <w:i w:val="0"/>
          <w:iCs w:val="0"/>
          <w:color w:val="auto"/>
          <w:kern w:val="0"/>
          <w:sz w:val="32"/>
          <w:szCs w:val="32"/>
          <w:highlight w:val="none"/>
          <w:u w:val="none"/>
          <w:lang w:val="en-US" w:eastAsia="zh-CN" w:bidi="ar"/>
        </w:rPr>
        <w:t>国家级公益林完善优化工作，项目占用国家级公益林按照要求核减调出</w:t>
      </w:r>
      <w:r>
        <w:rPr>
          <w:rFonts w:hint="eastAsia" w:ascii="仿宋_GB2312" w:hAnsi="仿宋_GB2312" w:eastAsia="仿宋_GB2312" w:cs="仿宋_GB2312"/>
          <w:i w:val="0"/>
          <w:iCs w:val="0"/>
          <w:color w:val="auto"/>
          <w:kern w:val="2"/>
          <w:sz w:val="32"/>
          <w:szCs w:val="32"/>
          <w:highlight w:val="none"/>
          <w:u w:val="none"/>
          <w:lang w:val="en-US" w:eastAsia="zh-CN" w:bidi="ar-SA"/>
        </w:rPr>
        <w:t>。</w:t>
      </w:r>
    </w:p>
    <w:p w14:paraId="4AED8320">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黑体" w:hAnsi="黑体" w:eastAsia="黑体" w:cs="黑体"/>
          <w:color w:val="auto"/>
          <w:kern w:val="0"/>
          <w:sz w:val="32"/>
          <w:szCs w:val="32"/>
          <w:highlight w:val="none"/>
          <w:lang w:val="en-US" w:eastAsia="zh-CN" w:bidi="ar"/>
        </w:rPr>
      </w:pPr>
      <w:r>
        <w:rPr>
          <w:rFonts w:hint="eastAsia" w:ascii="黑体" w:hAnsi="黑体" w:eastAsia="黑体" w:cs="黑体"/>
          <w:color w:val="auto"/>
          <w:kern w:val="0"/>
          <w:sz w:val="32"/>
          <w:szCs w:val="32"/>
          <w:highlight w:val="none"/>
          <w:lang w:val="en-US" w:eastAsia="zh-CN" w:bidi="ar"/>
        </w:rPr>
        <w:t>二十三、</w:t>
      </w:r>
      <w:bookmarkStart w:id="25" w:name="OLE_LINK23"/>
      <w:r>
        <w:rPr>
          <w:rFonts w:hint="eastAsia" w:ascii="黑体" w:hAnsi="黑体" w:eastAsia="黑体" w:cs="黑体"/>
          <w:color w:val="auto"/>
          <w:kern w:val="0"/>
          <w:sz w:val="32"/>
          <w:szCs w:val="32"/>
          <w:highlight w:val="none"/>
          <w:lang w:val="en-US" w:eastAsia="zh-CN" w:bidi="ar"/>
        </w:rPr>
        <w:t>安徽贵池老山省级自然保护区核心区、缓冲区霄坑村境内存在毁林种茶现象，侵占林地约70亩。</w:t>
      </w:r>
    </w:p>
    <w:bookmarkEnd w:id="25"/>
    <w:p w14:paraId="5AED565D">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rPr>
      </w:pPr>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i w:val="0"/>
          <w:iCs w:val="0"/>
          <w:color w:val="auto"/>
          <w:kern w:val="0"/>
          <w:sz w:val="32"/>
          <w:szCs w:val="32"/>
          <w:highlight w:val="none"/>
          <w:u w:val="none"/>
          <w:lang w:val="en-US" w:eastAsia="zh-CN" w:bidi="ar"/>
        </w:rPr>
        <w:t>2025年底。</w:t>
      </w:r>
    </w:p>
    <w:p w14:paraId="47B81AD7">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楷体_GB2312" w:hAnsi="楷体_GB2312" w:eastAsia="楷体_GB2312" w:cs="楷体_GB2312"/>
          <w:color w:val="auto"/>
          <w:sz w:val="32"/>
          <w:szCs w:val="32"/>
          <w:highlight w:val="none"/>
          <w:u w:val="none" w:color="auto"/>
          <w:lang w:val="en-US" w:eastAsia="zh-CN"/>
        </w:rPr>
      </w:pPr>
      <w:r>
        <w:rPr>
          <w:rFonts w:hint="eastAsia" w:ascii="楷体_GB2312" w:hAnsi="楷体_GB2312" w:eastAsia="楷体_GB2312" w:cs="楷体_GB2312"/>
          <w:color w:val="auto"/>
          <w:sz w:val="32"/>
          <w:szCs w:val="32"/>
          <w:highlight w:val="none"/>
        </w:rPr>
        <w:t>整改进展：</w:t>
      </w:r>
      <w:r>
        <w:rPr>
          <w:rFonts w:hint="eastAsia" w:ascii="仿宋_GB2312" w:hAnsi="仿宋_GB2312" w:eastAsia="仿宋_GB2312" w:cs="仿宋_GB2312"/>
          <w:color w:val="auto"/>
          <w:kern w:val="2"/>
          <w:sz w:val="32"/>
          <w:szCs w:val="32"/>
          <w:highlight w:val="none"/>
          <w:lang w:val="en-US" w:eastAsia="zh-CN" w:bidi="ar-SA"/>
        </w:rPr>
        <w:t>已完成整改。</w:t>
      </w:r>
    </w:p>
    <w:p w14:paraId="16559F24">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1.组织开展森林资源保护等政策宣传，提高群众生态保护意识。</w:t>
      </w:r>
    </w:p>
    <w:p w14:paraId="21E778F5">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2.组织开展霄坑村毁林种茶专项整治行动，全面调查保护区内霄坑村茶园现状，建立茶园数据库；根据历史影像资料进行比对，对疑似图斑现场调查核实，经核实确认7个变化图斑面积14.8亩；已组织对督察反馈的近70亩斑块及核实确认的7个图斑补植补造乔木树种。</w:t>
      </w:r>
    </w:p>
    <w:p w14:paraId="041024E4">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黑体" w:hAnsi="黑体" w:eastAsia="黑体" w:cs="黑体"/>
          <w:color w:val="auto"/>
          <w:kern w:val="0"/>
          <w:sz w:val="32"/>
          <w:szCs w:val="32"/>
          <w:highlight w:val="none"/>
          <w:lang w:val="en-US" w:eastAsia="zh-CN" w:bidi="ar"/>
        </w:rPr>
      </w:pPr>
      <w:r>
        <w:rPr>
          <w:rFonts w:hint="eastAsia" w:ascii="黑体" w:hAnsi="黑体" w:eastAsia="黑体" w:cs="黑体"/>
          <w:color w:val="auto"/>
          <w:kern w:val="0"/>
          <w:sz w:val="32"/>
          <w:szCs w:val="32"/>
          <w:highlight w:val="none"/>
          <w:lang w:val="en-US" w:eastAsia="zh-CN" w:bidi="ar"/>
        </w:rPr>
        <w:t>二十四、石台县七都镇水槽至胭脂桥道路建设工程项目侵占林地堆放弃渣，施工作业产生的山石、渣土滚落山坡毁坏林地，总计侵占、毁坏林地66亩。</w:t>
      </w:r>
    </w:p>
    <w:p w14:paraId="7DBE7C09">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i w:val="0"/>
          <w:iCs w:val="0"/>
          <w:color w:val="auto"/>
          <w:kern w:val="0"/>
          <w:sz w:val="32"/>
          <w:szCs w:val="32"/>
          <w:highlight w:val="none"/>
          <w:u w:val="none"/>
          <w:lang w:val="en-US" w:eastAsia="zh-CN" w:bidi="ar"/>
        </w:rPr>
        <w:t>2025年9月底。</w:t>
      </w:r>
    </w:p>
    <w:p w14:paraId="3869BDF0">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楷体_GB2312" w:hAnsi="楷体_GB2312" w:eastAsia="楷体_GB2312" w:cs="楷体_GB2312"/>
          <w:color w:val="auto"/>
          <w:sz w:val="32"/>
          <w:szCs w:val="32"/>
          <w:highlight w:val="none"/>
          <w:u w:val="none" w:color="auto"/>
          <w:lang w:val="en-US" w:eastAsia="zh-CN"/>
        </w:rPr>
      </w:pPr>
      <w:r>
        <w:rPr>
          <w:rFonts w:hint="eastAsia" w:ascii="楷体_GB2312" w:hAnsi="楷体_GB2312" w:eastAsia="楷体_GB2312" w:cs="楷体_GB2312"/>
          <w:color w:val="auto"/>
          <w:sz w:val="32"/>
          <w:szCs w:val="32"/>
          <w:highlight w:val="none"/>
        </w:rPr>
        <w:t>整改进展：</w:t>
      </w:r>
      <w:r>
        <w:rPr>
          <w:rFonts w:hint="eastAsia" w:ascii="仿宋_GB2312" w:hAnsi="仿宋_GB2312" w:eastAsia="仿宋_GB2312" w:cs="仿宋_GB2312"/>
          <w:color w:val="auto"/>
          <w:kern w:val="2"/>
          <w:sz w:val="32"/>
          <w:szCs w:val="32"/>
          <w:highlight w:val="none"/>
          <w:lang w:val="en-US" w:eastAsia="zh-CN" w:bidi="ar-SA"/>
        </w:rPr>
        <w:t>已完成整改。</w:t>
      </w:r>
    </w:p>
    <w:p w14:paraId="1B52ACCA">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1.依法依规查处违规占用林地行为。</w:t>
      </w:r>
    </w:p>
    <w:p w14:paraId="3D7ECC41">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2.科学制定生态修复方案，开展补植复绿工作，林地已恢复植被和林业生产条件，初步具备森林生态功能。</w:t>
      </w:r>
    </w:p>
    <w:p w14:paraId="214AC63E">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3.建立健全长效机制。全面压实林长制责任，常态化开展涉林问题排查整治。加强森林资源保护日常巡林巡查，定期通报林长巡林情况。开展专项行动，通过多种形式宣传森林资源保护法律法规。</w:t>
      </w:r>
    </w:p>
    <w:p w14:paraId="7E30875C">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黑体" w:hAnsi="黑体" w:eastAsia="黑体" w:cs="黑体"/>
          <w:color w:val="auto"/>
          <w:kern w:val="0"/>
          <w:sz w:val="32"/>
          <w:szCs w:val="32"/>
          <w:highlight w:val="none"/>
          <w:lang w:val="en-US" w:eastAsia="zh-CN" w:bidi="ar"/>
        </w:rPr>
      </w:pPr>
      <w:r>
        <w:rPr>
          <w:rFonts w:hint="eastAsia" w:ascii="黑体" w:hAnsi="黑体" w:eastAsia="黑体" w:cs="黑体"/>
          <w:color w:val="auto"/>
          <w:kern w:val="0"/>
          <w:sz w:val="32"/>
          <w:szCs w:val="32"/>
          <w:highlight w:val="none"/>
          <w:lang w:val="en-US" w:eastAsia="zh-CN" w:bidi="ar"/>
        </w:rPr>
        <w:t>二十五、青阳县环宇纸制品有限公司钙塑纸箱生产项目毁林14.63亩。</w:t>
      </w:r>
    </w:p>
    <w:p w14:paraId="21A4F0A7">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i w:val="0"/>
          <w:iCs w:val="0"/>
          <w:color w:val="auto"/>
          <w:kern w:val="0"/>
          <w:sz w:val="32"/>
          <w:szCs w:val="32"/>
          <w:highlight w:val="none"/>
          <w:u w:val="none"/>
          <w:lang w:val="en-US" w:eastAsia="zh-CN" w:bidi="ar"/>
        </w:rPr>
        <w:t>2025年9月底。</w:t>
      </w:r>
    </w:p>
    <w:p w14:paraId="1C764E0B">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楷体_GB2312" w:hAnsi="楷体_GB2312" w:eastAsia="楷体_GB2312" w:cs="楷体_GB2312"/>
          <w:color w:val="auto"/>
          <w:sz w:val="32"/>
          <w:szCs w:val="32"/>
          <w:highlight w:val="none"/>
          <w:u w:val="none" w:color="auto"/>
          <w:lang w:val="en-US" w:eastAsia="zh-CN"/>
        </w:rPr>
      </w:pPr>
      <w:r>
        <w:rPr>
          <w:rFonts w:hint="eastAsia" w:ascii="楷体_GB2312" w:hAnsi="楷体_GB2312" w:eastAsia="楷体_GB2312" w:cs="楷体_GB2312"/>
          <w:color w:val="auto"/>
          <w:sz w:val="32"/>
          <w:szCs w:val="32"/>
          <w:highlight w:val="none"/>
        </w:rPr>
        <w:t>整改进展：</w:t>
      </w:r>
      <w:r>
        <w:rPr>
          <w:rFonts w:hint="eastAsia" w:ascii="仿宋_GB2312" w:hAnsi="仿宋_GB2312" w:eastAsia="仿宋_GB2312" w:cs="仿宋_GB2312"/>
          <w:color w:val="auto"/>
          <w:kern w:val="2"/>
          <w:sz w:val="32"/>
          <w:szCs w:val="32"/>
          <w:highlight w:val="none"/>
          <w:lang w:val="en-US" w:eastAsia="zh-CN" w:bidi="ar-SA"/>
        </w:rPr>
        <w:t>已完成整改。</w:t>
      </w:r>
    </w:p>
    <w:p w14:paraId="65D8F4D2">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1.已对企业毁林违法行为进行查处，责令限期恢复毁坏的林地植被、林业生产条件和该地块的复绿工作。</w:t>
      </w:r>
    </w:p>
    <w:p w14:paraId="063E4D97">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2.已完成对违法破坏的林地恢复林地生产条件和复绿工作。</w:t>
      </w:r>
    </w:p>
    <w:p w14:paraId="3969BA62">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黑体" w:hAnsi="黑体" w:eastAsia="黑体" w:cs="黑体"/>
          <w:color w:val="auto"/>
          <w:kern w:val="0"/>
          <w:sz w:val="32"/>
          <w:szCs w:val="32"/>
          <w:highlight w:val="none"/>
          <w:lang w:val="en-US" w:eastAsia="zh-CN" w:bidi="ar"/>
        </w:rPr>
      </w:pPr>
      <w:r>
        <w:rPr>
          <w:rFonts w:hint="eastAsia" w:ascii="黑体" w:hAnsi="黑体" w:eastAsia="黑体" w:cs="黑体"/>
          <w:color w:val="auto"/>
          <w:kern w:val="0"/>
          <w:sz w:val="32"/>
          <w:szCs w:val="32"/>
          <w:highlight w:val="none"/>
          <w:lang w:val="en-US" w:eastAsia="zh-CN" w:bidi="ar"/>
        </w:rPr>
        <w:t>二十六、青阳皖能综合能源有限公司天然气直供工程项目、矿产品输送廊道工程工勘项目等4个建设项目均存在“批少占多”，侵占、毁坏林地行为。</w:t>
      </w:r>
    </w:p>
    <w:p w14:paraId="6009ACD5">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i w:val="0"/>
          <w:iCs w:val="0"/>
          <w:color w:val="auto"/>
          <w:kern w:val="0"/>
          <w:sz w:val="32"/>
          <w:szCs w:val="32"/>
          <w:highlight w:val="none"/>
          <w:u w:val="none"/>
          <w:lang w:val="en-US" w:eastAsia="zh-CN" w:bidi="ar"/>
        </w:rPr>
        <w:t>2025年9月底。</w:t>
      </w:r>
    </w:p>
    <w:p w14:paraId="50AA1BF1">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楷体_GB2312" w:hAnsi="楷体_GB2312" w:eastAsia="楷体_GB2312" w:cs="楷体_GB2312"/>
          <w:color w:val="auto"/>
          <w:sz w:val="32"/>
          <w:szCs w:val="32"/>
          <w:highlight w:val="none"/>
          <w:u w:val="none" w:color="auto"/>
          <w:lang w:val="en-US" w:eastAsia="zh-CN"/>
        </w:rPr>
      </w:pPr>
      <w:r>
        <w:rPr>
          <w:rFonts w:hint="eastAsia" w:ascii="楷体_GB2312" w:hAnsi="楷体_GB2312" w:eastAsia="楷体_GB2312" w:cs="楷体_GB2312"/>
          <w:color w:val="auto"/>
          <w:sz w:val="32"/>
          <w:szCs w:val="32"/>
          <w:highlight w:val="none"/>
        </w:rPr>
        <w:t>整改进展：</w:t>
      </w:r>
      <w:r>
        <w:rPr>
          <w:rFonts w:hint="eastAsia" w:ascii="仿宋_GB2312" w:hAnsi="仿宋_GB2312" w:eastAsia="仿宋_GB2312" w:cs="仿宋_GB2312"/>
          <w:color w:val="auto"/>
          <w:kern w:val="2"/>
          <w:sz w:val="32"/>
          <w:szCs w:val="32"/>
          <w:highlight w:val="none"/>
          <w:lang w:val="en-US" w:eastAsia="zh-CN" w:bidi="ar-SA"/>
        </w:rPr>
        <w:t>已完成整改。</w:t>
      </w:r>
    </w:p>
    <w:p w14:paraId="01A923D0">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1.青阳县林业局对2个项目超范围使用林地问题进行查处。</w:t>
      </w:r>
    </w:p>
    <w:p w14:paraId="54D89958">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default"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2.已完成对违法破坏的林地恢复林地植被和林业生产条件。</w:t>
      </w:r>
    </w:p>
    <w:p w14:paraId="7041E21A">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黑体" w:hAnsi="黑体" w:eastAsia="黑体" w:cs="黑体"/>
          <w:color w:val="auto"/>
          <w:kern w:val="0"/>
          <w:sz w:val="32"/>
          <w:szCs w:val="32"/>
          <w:highlight w:val="none"/>
          <w:lang w:val="en-US" w:eastAsia="zh-CN" w:bidi="ar"/>
        </w:rPr>
      </w:pPr>
      <w:r>
        <w:rPr>
          <w:rFonts w:hint="eastAsia" w:ascii="黑体" w:hAnsi="黑体" w:eastAsia="黑体" w:cs="黑体"/>
          <w:color w:val="auto"/>
          <w:kern w:val="0"/>
          <w:sz w:val="32"/>
          <w:szCs w:val="32"/>
          <w:highlight w:val="none"/>
          <w:lang w:val="en-US" w:eastAsia="zh-CN" w:bidi="ar"/>
        </w:rPr>
        <w:t>二十七、</w:t>
      </w:r>
      <w:bookmarkStart w:id="26" w:name="OLE_LINK37"/>
      <w:r>
        <w:rPr>
          <w:rFonts w:hint="eastAsia" w:ascii="黑体" w:hAnsi="黑体" w:eastAsia="黑体" w:cs="黑体"/>
          <w:color w:val="auto"/>
          <w:kern w:val="0"/>
          <w:sz w:val="32"/>
          <w:szCs w:val="32"/>
          <w:highlight w:val="none"/>
          <w:lang w:val="en-US" w:eastAsia="zh-CN" w:bidi="ar"/>
        </w:rPr>
        <w:t>第一轮中央环保督察反馈的池州市湖泊人工养殖面积超出规定问题，池州市整改不到位，丰收圩、高桥湖、西岔湖、马料湖、狭阳湖、丁湖等重点湖泊水域人工养殖面积仍然超标。</w:t>
      </w:r>
      <w:bookmarkEnd w:id="26"/>
    </w:p>
    <w:p w14:paraId="0C8EEE06">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i w:val="0"/>
          <w:iCs w:val="0"/>
          <w:color w:val="auto"/>
          <w:kern w:val="0"/>
          <w:sz w:val="32"/>
          <w:szCs w:val="32"/>
          <w:highlight w:val="none"/>
          <w:u w:val="none"/>
          <w:lang w:val="en-US" w:eastAsia="zh-CN" w:bidi="ar"/>
        </w:rPr>
        <w:t>2026年底。</w:t>
      </w:r>
    </w:p>
    <w:p w14:paraId="238FEF79">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楷体_GB2312" w:hAnsi="楷体_GB2312" w:eastAsia="楷体_GB2312" w:cs="楷体_GB2312"/>
          <w:color w:val="auto"/>
          <w:sz w:val="32"/>
          <w:szCs w:val="32"/>
          <w:highlight w:val="none"/>
          <w:u w:val="none" w:color="auto"/>
          <w:lang w:val="en-US" w:eastAsia="zh-CN"/>
        </w:rPr>
      </w:pPr>
      <w:r>
        <w:rPr>
          <w:rFonts w:hint="eastAsia" w:ascii="楷体_GB2312" w:hAnsi="楷体_GB2312" w:eastAsia="楷体_GB2312" w:cs="楷体_GB2312"/>
          <w:color w:val="auto"/>
          <w:sz w:val="32"/>
          <w:szCs w:val="32"/>
          <w:highlight w:val="none"/>
        </w:rPr>
        <w:t>整改进展：</w:t>
      </w:r>
      <w:r>
        <w:rPr>
          <w:rFonts w:hint="eastAsia" w:ascii="仿宋_GB2312" w:hAnsi="仿宋_GB2312" w:eastAsia="仿宋_GB2312" w:cs="仿宋_GB2312"/>
          <w:color w:val="auto"/>
          <w:kern w:val="2"/>
          <w:sz w:val="32"/>
          <w:szCs w:val="32"/>
          <w:highlight w:val="none"/>
          <w:lang w:val="en-US" w:eastAsia="zh-CN" w:bidi="ar-SA"/>
        </w:rPr>
        <w:t>已完成阶段性目标，继续推进。</w:t>
      </w:r>
    </w:p>
    <w:p w14:paraId="59286034">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default"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1.贵池区、东至县已全面排查重点湖泊人工养殖情况，建立问题台账，并向养殖户送达了告知书。</w:t>
      </w:r>
    </w:p>
    <w:p w14:paraId="7D9B4842">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highlight w:val="none"/>
          <w:lang w:val="en-US" w:eastAsia="zh-CN"/>
        </w:rPr>
      </w:pPr>
      <w:r>
        <w:rPr>
          <w:rFonts w:hint="eastAsia" w:ascii="仿宋_GB2312" w:hAnsi="仿宋_GB2312" w:eastAsia="仿宋_GB2312" w:cs="仿宋_GB2312"/>
          <w:i w:val="0"/>
          <w:iCs w:val="0"/>
          <w:color w:val="auto"/>
          <w:kern w:val="0"/>
          <w:sz w:val="32"/>
          <w:szCs w:val="32"/>
          <w:highlight w:val="none"/>
          <w:u w:val="none"/>
          <w:lang w:val="en-US" w:eastAsia="zh-CN" w:bidi="ar"/>
        </w:rPr>
        <w:t>2.</w:t>
      </w:r>
      <w:r>
        <w:rPr>
          <w:rFonts w:hint="eastAsia" w:ascii="仿宋_GB2312" w:hAnsi="仿宋_GB2312" w:eastAsia="仿宋_GB2312" w:cs="仿宋_GB2312"/>
          <w:b w:val="0"/>
          <w:bCs w:val="0"/>
          <w:color w:val="auto"/>
          <w:kern w:val="0"/>
          <w:sz w:val="32"/>
          <w:szCs w:val="32"/>
          <w:highlight w:val="none"/>
          <w:u w:val="none"/>
          <w:lang w:val="en-US" w:eastAsia="zh-CN" w:bidi="ar"/>
        </w:rPr>
        <w:t>东至县印发《东至县2025年重点湖泊违规养殖专项整治方案》《东至县丁湖、狭阳湖违规养殖整治方案》，要求养殖户执行限养区养殖规定，在养殖过程中采取人放天养模式，控制养殖密度。加强日常监管巡查与技术指导，发现投料等违规养殖行为及时制止，并拆除增氧机。</w:t>
      </w:r>
    </w:p>
    <w:p w14:paraId="7EAFA520">
      <w:pPr>
        <w:ind w:firstLine="640" w:firstLineChars="200"/>
        <w:rPr>
          <w:rFonts w:hint="eastAsia" w:ascii="仿宋_GB2312" w:hAnsi="仿宋_GB2312" w:eastAsia="仿宋_GB2312" w:cs="仿宋_GB2312"/>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3.</w:t>
      </w:r>
      <w:r>
        <w:rPr>
          <w:rFonts w:hint="eastAsia" w:ascii="仿宋_GB2312" w:hAnsi="仿宋_GB2312" w:eastAsia="仿宋_GB2312" w:cs="仿宋_GB2312"/>
          <w:color w:val="auto"/>
          <w:kern w:val="0"/>
          <w:sz w:val="32"/>
          <w:szCs w:val="32"/>
          <w:highlight w:val="none"/>
          <w:u w:val="none"/>
          <w:lang w:val="en-US" w:eastAsia="zh-CN" w:bidi="ar"/>
        </w:rPr>
        <w:t>贵池区根据各个重点湖泊实际情况制定了独立的整改方案，加强重点湖泊内渔业养殖行为的管理，对涉及</w:t>
      </w:r>
      <w:bookmarkStart w:id="69" w:name="_GoBack"/>
      <w:bookmarkEnd w:id="69"/>
      <w:r>
        <w:rPr>
          <w:rFonts w:hint="eastAsia" w:ascii="仿宋_GB2312" w:hAnsi="仿宋_GB2312" w:eastAsia="仿宋_GB2312" w:cs="仿宋_GB2312"/>
          <w:color w:val="auto"/>
          <w:kern w:val="0"/>
          <w:sz w:val="32"/>
          <w:szCs w:val="32"/>
          <w:highlight w:val="none"/>
          <w:u w:val="none"/>
          <w:lang w:val="en-US" w:eastAsia="zh-CN" w:bidi="ar"/>
        </w:rPr>
        <w:t>大水面养殖的所有养殖主体发放水产养殖三项记录本，要求养殖主体对鱼苗投放数量、用药情况、销售数量等数据详实记录。目前马料湖、高桥湖均已拆除违规设施，同步安装启用2套日夜两用高清热成像监控；西湖已拆除设施并停止投饵。</w:t>
      </w:r>
    </w:p>
    <w:p w14:paraId="2314A554">
      <w:pPr>
        <w:ind w:firstLine="640" w:firstLineChars="200"/>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4.贵池区湖泊保护暨岸线保护与利用规划的修编工作已完成相关单位的征求意见，正在报区政府审批。加强对重点湖泊内人工养殖行为的管理，严格落实河湖长巡查督查工作。</w:t>
      </w:r>
    </w:p>
    <w:p w14:paraId="1FB89B01">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5.已组织开展省级以上层面突出生态环境问题“回头看”专项行动，进一步巩固问题整改质效。</w:t>
      </w:r>
    </w:p>
    <w:p w14:paraId="406D060F">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黑体" w:hAnsi="黑体" w:eastAsia="黑体" w:cs="黑体"/>
          <w:color w:val="auto"/>
          <w:kern w:val="0"/>
          <w:sz w:val="32"/>
          <w:szCs w:val="32"/>
          <w:highlight w:val="none"/>
          <w:lang w:val="en-US" w:eastAsia="zh-CN" w:bidi="ar"/>
        </w:rPr>
      </w:pPr>
      <w:r>
        <w:rPr>
          <w:rFonts w:hint="eastAsia" w:ascii="黑体" w:hAnsi="黑体" w:eastAsia="黑体" w:cs="黑体"/>
          <w:color w:val="auto"/>
          <w:kern w:val="0"/>
          <w:sz w:val="32"/>
          <w:szCs w:val="32"/>
          <w:highlight w:val="none"/>
          <w:lang w:val="en-US" w:eastAsia="zh-CN" w:bidi="ar"/>
        </w:rPr>
        <w:t>二十八、2021年省自然保护地专项督察指出的贵池十八索省级自然保护区核心区内双丰圩有大量水塘养殖小龙虾问题。贵池区和池州市林业部门日常监管巡查不到位，双丰圩内仍有约430亩水塘养殖小龙虾、鱼类，周边散落农药包装废弃物。</w:t>
      </w:r>
    </w:p>
    <w:p w14:paraId="5142DC6B">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i w:val="0"/>
          <w:iCs w:val="0"/>
          <w:color w:val="auto"/>
          <w:kern w:val="0"/>
          <w:sz w:val="32"/>
          <w:szCs w:val="32"/>
          <w:highlight w:val="none"/>
          <w:u w:val="none"/>
          <w:lang w:val="en-US" w:eastAsia="zh-CN" w:bidi="ar"/>
        </w:rPr>
        <w:t>2025年6月底。</w:t>
      </w:r>
    </w:p>
    <w:p w14:paraId="6AE56BBA">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楷体_GB2312" w:hAnsi="楷体_GB2312" w:eastAsia="楷体_GB2312" w:cs="楷体_GB2312"/>
          <w:color w:val="auto"/>
          <w:sz w:val="32"/>
          <w:szCs w:val="32"/>
          <w:highlight w:val="none"/>
          <w:u w:val="none" w:color="auto"/>
          <w:lang w:val="en-US" w:eastAsia="zh-CN"/>
        </w:rPr>
      </w:pPr>
      <w:r>
        <w:rPr>
          <w:rFonts w:hint="eastAsia" w:ascii="楷体_GB2312" w:hAnsi="楷体_GB2312" w:eastAsia="楷体_GB2312" w:cs="楷体_GB2312"/>
          <w:color w:val="auto"/>
          <w:sz w:val="32"/>
          <w:szCs w:val="32"/>
          <w:highlight w:val="none"/>
        </w:rPr>
        <w:t>整改进展：</w:t>
      </w:r>
      <w:r>
        <w:rPr>
          <w:rFonts w:hint="eastAsia" w:ascii="仿宋_GB2312" w:hAnsi="仿宋_GB2312" w:eastAsia="仿宋_GB2312" w:cs="仿宋_GB2312"/>
          <w:color w:val="auto"/>
          <w:kern w:val="2"/>
          <w:sz w:val="32"/>
          <w:szCs w:val="32"/>
          <w:highlight w:val="none"/>
          <w:lang w:val="en-US" w:eastAsia="zh-CN" w:bidi="ar-SA"/>
        </w:rPr>
        <w:t>已完成整改。</w:t>
      </w:r>
    </w:p>
    <w:p w14:paraId="2C4E049D">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1.已强化巡查，形成巡查巡护记录，禁止在核心区有龙虾养殖等违法违规生产经营行为。</w:t>
      </w:r>
    </w:p>
    <w:p w14:paraId="1D71AAD1">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2.已清理周边散落丢弃的农药包装废弃物并规范回收处置。</w:t>
      </w:r>
    </w:p>
    <w:p w14:paraId="35DEBD14">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3.已强化宣传，通过告知牌、一封信等形式提高了种养殖承包户的环保意识，与2家承包户重新签订水田承包合同，确保其依法依规开展农业生产活动。</w:t>
      </w:r>
    </w:p>
    <w:p w14:paraId="24C3E405">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黑体" w:hAnsi="黑体" w:eastAsia="黑体" w:cs="黑体"/>
          <w:color w:val="auto"/>
          <w:kern w:val="0"/>
          <w:sz w:val="32"/>
          <w:szCs w:val="32"/>
          <w:highlight w:val="none"/>
          <w:lang w:val="en-US" w:eastAsia="zh-CN" w:bidi="ar"/>
        </w:rPr>
      </w:pPr>
      <w:r>
        <w:rPr>
          <w:rFonts w:hint="eastAsia" w:ascii="黑体" w:hAnsi="黑体" w:eastAsia="黑体" w:cs="黑体"/>
          <w:color w:val="auto"/>
          <w:kern w:val="0"/>
          <w:sz w:val="32"/>
          <w:szCs w:val="32"/>
          <w:highlight w:val="none"/>
          <w:lang w:val="en-US" w:eastAsia="zh-CN" w:bidi="ar"/>
        </w:rPr>
        <w:t>二十九、中央及省生态环境保护督察信访件交办的池州丰林木业有限公司异味扰民问题，省督察反馈的江南产业集中区第一污水处理厂进水浓度低问题，省警示片披露的青阳双佳包装材料有限公司违规使用生物质锅炉等问题均存在整改不到位现象。</w:t>
      </w:r>
    </w:p>
    <w:p w14:paraId="5F35F8AC">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i w:val="0"/>
          <w:iCs w:val="0"/>
          <w:color w:val="auto"/>
          <w:kern w:val="0"/>
          <w:sz w:val="32"/>
          <w:szCs w:val="32"/>
          <w:highlight w:val="none"/>
          <w:u w:val="none"/>
          <w:lang w:val="en-US" w:eastAsia="zh-CN" w:bidi="ar"/>
        </w:rPr>
        <w:t>2025年底。</w:t>
      </w:r>
    </w:p>
    <w:p w14:paraId="418DFF1E">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楷体_GB2312" w:hAnsi="楷体_GB2312" w:eastAsia="楷体_GB2312" w:cs="楷体_GB2312"/>
          <w:color w:val="auto"/>
          <w:sz w:val="32"/>
          <w:szCs w:val="32"/>
          <w:highlight w:val="none"/>
          <w:u w:val="none" w:color="auto"/>
          <w:lang w:val="en-US" w:eastAsia="zh-CN"/>
        </w:rPr>
      </w:pPr>
      <w:r>
        <w:rPr>
          <w:rFonts w:hint="eastAsia" w:ascii="楷体_GB2312" w:hAnsi="楷体_GB2312" w:eastAsia="楷体_GB2312" w:cs="楷体_GB2312"/>
          <w:color w:val="auto"/>
          <w:sz w:val="32"/>
          <w:szCs w:val="32"/>
          <w:highlight w:val="none"/>
        </w:rPr>
        <w:t>整改进展：</w:t>
      </w:r>
      <w:r>
        <w:rPr>
          <w:rFonts w:hint="eastAsia" w:ascii="仿宋_GB2312" w:hAnsi="仿宋_GB2312" w:eastAsia="仿宋_GB2312" w:cs="仿宋_GB2312"/>
          <w:color w:val="auto"/>
          <w:kern w:val="2"/>
          <w:sz w:val="32"/>
          <w:szCs w:val="32"/>
          <w:highlight w:val="none"/>
          <w:lang w:val="en-US" w:eastAsia="zh-CN" w:bidi="ar-SA"/>
        </w:rPr>
        <w:t>已完成整改。</w:t>
      </w:r>
    </w:p>
    <w:p w14:paraId="7797BF94">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default" w:ascii="仿宋_GB2312" w:hAnsi="仿宋_GB2312" w:eastAsia="仿宋_GB2312" w:cs="仿宋_GB2312"/>
          <w:i w:val="0"/>
          <w:iCs w:val="0"/>
          <w:color w:val="auto"/>
          <w:kern w:val="0"/>
          <w:sz w:val="32"/>
          <w:szCs w:val="32"/>
          <w:highlight w:val="none"/>
          <w:u w:val="none"/>
          <w:lang w:val="en-US" w:eastAsia="zh-CN" w:bidi="ar"/>
        </w:rPr>
      </w:pPr>
      <w:bookmarkStart w:id="27" w:name="OLE_LINK65"/>
      <w:r>
        <w:rPr>
          <w:rFonts w:hint="eastAsia" w:ascii="仿宋_GB2312" w:hAnsi="仿宋_GB2312" w:eastAsia="仿宋_GB2312" w:cs="仿宋_GB2312"/>
          <w:i w:val="0"/>
          <w:iCs w:val="0"/>
          <w:color w:val="auto"/>
          <w:kern w:val="0"/>
          <w:sz w:val="32"/>
          <w:szCs w:val="32"/>
          <w:highlight w:val="none"/>
          <w:u w:val="none"/>
          <w:lang w:val="en-US" w:eastAsia="zh-CN" w:bidi="ar"/>
        </w:rPr>
        <w:t>1.池州丰林木业有限公司已修复热能中心烟气管道与干燥尾气管道接驳处裂隙，设备已正常使用并稳定运行，并组织开展全面排查。</w:t>
      </w:r>
    </w:p>
    <w:p w14:paraId="7CDEC50A">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default"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2.江南新兴产业集中区市政主管网区域涉及凤鸣大道、汉江路、黄山北路、洛河路、淝河路等道路，需要修复改造污水管网长度约27004.87米，已采用碎管法、CIPP内衬修复等修复方式完成修复，目前江南产业集中区第一污水处理厂进水化学需氧量浓度月均值稳定在100mg/L以上。</w:t>
      </w:r>
    </w:p>
    <w:p w14:paraId="19C85959">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b w:val="0"/>
          <w:bCs w:val="0"/>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3.</w:t>
      </w:r>
      <w:bookmarkStart w:id="28" w:name="OLE_LINK64"/>
      <w:r>
        <w:rPr>
          <w:rFonts w:hint="eastAsia" w:ascii="仿宋_GB2312" w:hAnsi="仿宋_GB2312" w:eastAsia="仿宋_GB2312" w:cs="仿宋_GB2312"/>
          <w:b w:val="0"/>
          <w:bCs w:val="0"/>
          <w:i w:val="0"/>
          <w:iCs w:val="0"/>
          <w:color w:val="auto"/>
          <w:kern w:val="0"/>
          <w:sz w:val="32"/>
          <w:szCs w:val="32"/>
          <w:highlight w:val="none"/>
          <w:u w:val="none"/>
          <w:lang w:val="en-US" w:eastAsia="zh-CN" w:bidi="ar"/>
        </w:rPr>
        <w:t>青阳双佳包装材料有</w:t>
      </w:r>
      <w:bookmarkEnd w:id="28"/>
      <w:r>
        <w:rPr>
          <w:rFonts w:hint="eastAsia" w:ascii="仿宋_GB2312" w:hAnsi="仿宋_GB2312" w:eastAsia="仿宋_GB2312" w:cs="仿宋_GB2312"/>
          <w:b w:val="0"/>
          <w:bCs w:val="0"/>
          <w:i w:val="0"/>
          <w:iCs w:val="0"/>
          <w:color w:val="auto"/>
          <w:kern w:val="0"/>
          <w:sz w:val="32"/>
          <w:szCs w:val="32"/>
          <w:highlight w:val="none"/>
          <w:u w:val="none"/>
          <w:lang w:val="en-US" w:eastAsia="zh-CN" w:bidi="ar"/>
        </w:rPr>
        <w:t>限公司拆除生物质锅炉上料口料斗等设施，杜绝生物质燃料使用条件；已安装并接通天然气管道等设施，按照环评要求使用天然气作为锅炉燃料。</w:t>
      </w:r>
    </w:p>
    <w:bookmarkEnd w:id="27"/>
    <w:p w14:paraId="24BC2D39">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黑体" w:hAnsi="黑体" w:eastAsia="黑体" w:cs="黑体"/>
          <w:color w:val="auto"/>
          <w:kern w:val="0"/>
          <w:sz w:val="32"/>
          <w:szCs w:val="32"/>
          <w:highlight w:val="none"/>
          <w:lang w:val="en-US" w:eastAsia="zh-CN" w:bidi="ar"/>
        </w:rPr>
      </w:pPr>
      <w:r>
        <w:rPr>
          <w:rFonts w:hint="eastAsia" w:ascii="黑体" w:hAnsi="黑体" w:eastAsia="黑体" w:cs="黑体"/>
          <w:color w:val="auto"/>
          <w:kern w:val="0"/>
          <w:sz w:val="32"/>
          <w:szCs w:val="32"/>
          <w:highlight w:val="none"/>
          <w:lang w:val="en-US" w:eastAsia="zh-CN" w:bidi="ar"/>
        </w:rPr>
        <w:t>三十、督察组调阅资料发现，长江干流贵池区远航码头、东至县大渡口镇等水域存在违法捕鱼问题，池州市农业农村部门缺少针对性管控</w:t>
      </w:r>
      <w:r>
        <w:rPr>
          <w:rFonts w:hint="eastAsia" w:ascii="黑体" w:hAnsi="黑体" w:eastAsia="黑体" w:cs="黑体"/>
          <w:color w:val="auto"/>
          <w:spacing w:val="-6"/>
          <w:kern w:val="0"/>
          <w:sz w:val="32"/>
          <w:szCs w:val="32"/>
          <w:highlight w:val="none"/>
          <w:lang w:val="en-US" w:eastAsia="zh-CN" w:bidi="ar"/>
        </w:rPr>
        <w:t>措施。督察期间，督察组现场巡查发现，上述区域仍有群众垂钓。</w:t>
      </w:r>
    </w:p>
    <w:p w14:paraId="7A6AA57B">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i w:val="0"/>
          <w:iCs w:val="0"/>
          <w:color w:val="auto"/>
          <w:kern w:val="0"/>
          <w:sz w:val="32"/>
          <w:szCs w:val="32"/>
          <w:highlight w:val="none"/>
          <w:u w:val="none"/>
          <w:lang w:val="en-US" w:eastAsia="zh-CN" w:bidi="ar"/>
        </w:rPr>
        <w:t>2025年6月底。</w:t>
      </w:r>
    </w:p>
    <w:p w14:paraId="7041EAE3">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楷体_GB2312" w:hAnsi="楷体_GB2312" w:eastAsia="楷体_GB2312" w:cs="楷体_GB2312"/>
          <w:color w:val="auto"/>
          <w:sz w:val="32"/>
          <w:szCs w:val="32"/>
          <w:highlight w:val="none"/>
          <w:u w:val="none" w:color="auto"/>
          <w:lang w:val="en-US" w:eastAsia="zh-CN"/>
        </w:rPr>
      </w:pPr>
      <w:r>
        <w:rPr>
          <w:rFonts w:hint="eastAsia" w:ascii="楷体_GB2312" w:hAnsi="楷体_GB2312" w:eastAsia="楷体_GB2312" w:cs="楷体_GB2312"/>
          <w:color w:val="auto"/>
          <w:sz w:val="32"/>
          <w:szCs w:val="32"/>
          <w:highlight w:val="none"/>
        </w:rPr>
        <w:t>整改进展：</w:t>
      </w:r>
      <w:r>
        <w:rPr>
          <w:rFonts w:hint="eastAsia" w:ascii="仿宋_GB2312" w:hAnsi="仿宋_GB2312" w:eastAsia="仿宋_GB2312" w:cs="仿宋_GB2312"/>
          <w:color w:val="auto"/>
          <w:kern w:val="2"/>
          <w:sz w:val="32"/>
          <w:szCs w:val="32"/>
          <w:highlight w:val="none"/>
          <w:lang w:val="en-US" w:eastAsia="zh-CN" w:bidi="ar-SA"/>
        </w:rPr>
        <w:t>已完成整改。</w:t>
      </w:r>
    </w:p>
    <w:p w14:paraId="265F133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left"/>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1.严厉查处非法捕捞。根据督察反馈的远航码头非法垂钓人员线索，</w:t>
      </w:r>
      <w:r>
        <w:rPr>
          <w:rFonts w:hint="eastAsia" w:ascii="仿宋_GB2312" w:hAnsi="仿宋_GB2312" w:eastAsia="仿宋_GB2312" w:cs="仿宋_GB2312"/>
          <w:color w:val="auto"/>
          <w:kern w:val="0"/>
          <w:sz w:val="32"/>
          <w:szCs w:val="32"/>
          <w:highlight w:val="none"/>
          <w:u w:val="none"/>
          <w:lang w:val="en-US" w:eastAsia="zh-CN" w:bidi="ar"/>
        </w:rPr>
        <w:t>依法依规进行调查处理。</w:t>
      </w:r>
    </w:p>
    <w:p w14:paraId="10F7CF3D">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default"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2.持续提升技防力量。与铜陵市协调，现贵池区已将梅龙胜利村摄像头调整至枞阳老洲并投入使用，同时原牛头山黄湓村摄像头现已优化位置，全力消除监控盲区。东至县大渡口镇在北闸和新河闸水域共增设6个视频监控点位，现均已投入使用。</w:t>
      </w:r>
    </w:p>
    <w:p w14:paraId="374D8CCE">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default"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3.加大执法监管力度。各级渔政和护渔队实行值班值守制度，针对重点水域、问题多发水域，强化日常执法监管，持续排查各类隐患。东至县制定《东至县禁捕执法执勤管理制度》，实行奖惩管理，优化执勤模式。常态化与公安、市场监管等部门开展联合执法行动，会同铜陵市枞阳县、郊区、江西省湖口县等市县开展跨部门跨区域联合执法行动，巡查皖赣、池铜等交界水域。实施整改以来，全市共开展联合执法60次。</w:t>
      </w:r>
    </w:p>
    <w:p w14:paraId="5AF5F620">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4.常态化开展禁捕宣传。结合日常巡查及专项行动，持续开展禁捕政策及法律法规宣传，在大渡口镇等重点水域岸边树立禁止垂钓公示牌，发放或张贴《禁止涉渔行为告知书》。发挥各类媒体作用，在池州市交通旅游广播播放公益广告，在池州新闻等平台先后公布7起涉渔典型案例，强化以案释法。举办长江十年禁渔警示教育宣传活动，走访沿江社区居民，开展宣传讲座，持续加大正面引导。</w:t>
      </w:r>
    </w:p>
    <w:p w14:paraId="703E0BD7">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黑体" w:hAnsi="黑体" w:eastAsia="黑体" w:cs="黑体"/>
          <w:color w:val="auto"/>
          <w:kern w:val="0"/>
          <w:sz w:val="32"/>
          <w:szCs w:val="32"/>
          <w:highlight w:val="none"/>
          <w:lang w:val="en-US" w:eastAsia="zh-CN" w:bidi="ar"/>
        </w:rPr>
      </w:pPr>
      <w:r>
        <w:rPr>
          <w:rFonts w:hint="eastAsia" w:ascii="黑体" w:hAnsi="黑体" w:eastAsia="黑体" w:cs="黑体"/>
          <w:color w:val="auto"/>
          <w:kern w:val="0"/>
          <w:sz w:val="32"/>
          <w:szCs w:val="32"/>
          <w:highlight w:val="none"/>
          <w:lang w:val="en-US" w:eastAsia="zh-CN" w:bidi="ar"/>
        </w:rPr>
        <w:t>三十一、禁渔期间，平天湖牧之路桥西侧河道存在违规放置地笼和垂钓现象。</w:t>
      </w:r>
    </w:p>
    <w:p w14:paraId="58AF345F">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i w:val="0"/>
          <w:iCs w:val="0"/>
          <w:color w:val="auto"/>
          <w:kern w:val="0"/>
          <w:sz w:val="32"/>
          <w:szCs w:val="32"/>
          <w:highlight w:val="none"/>
          <w:u w:val="none"/>
          <w:lang w:val="en-US" w:eastAsia="zh-CN" w:bidi="ar"/>
        </w:rPr>
        <w:t>2025年6月底。</w:t>
      </w:r>
    </w:p>
    <w:p w14:paraId="3B445DB6">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楷体_GB2312" w:hAnsi="楷体_GB2312" w:eastAsia="楷体_GB2312" w:cs="楷体_GB2312"/>
          <w:color w:val="auto"/>
          <w:sz w:val="32"/>
          <w:szCs w:val="32"/>
          <w:highlight w:val="none"/>
          <w:u w:val="none" w:color="auto"/>
          <w:lang w:val="en-US" w:eastAsia="zh-CN"/>
        </w:rPr>
      </w:pPr>
      <w:r>
        <w:rPr>
          <w:rFonts w:hint="eastAsia" w:ascii="楷体_GB2312" w:hAnsi="楷体_GB2312" w:eastAsia="楷体_GB2312" w:cs="楷体_GB2312"/>
          <w:color w:val="auto"/>
          <w:sz w:val="32"/>
          <w:szCs w:val="32"/>
          <w:highlight w:val="none"/>
        </w:rPr>
        <w:t>整改进展：</w:t>
      </w:r>
      <w:r>
        <w:rPr>
          <w:rFonts w:hint="eastAsia" w:ascii="仿宋_GB2312" w:hAnsi="仿宋_GB2312" w:eastAsia="仿宋_GB2312" w:cs="仿宋_GB2312"/>
          <w:color w:val="auto"/>
          <w:kern w:val="2"/>
          <w:sz w:val="32"/>
          <w:szCs w:val="32"/>
          <w:highlight w:val="none"/>
          <w:lang w:val="en-US" w:eastAsia="zh-CN" w:bidi="ar-SA"/>
        </w:rPr>
        <w:t>已完成整改。</w:t>
      </w:r>
    </w:p>
    <w:p w14:paraId="0E8BEEE3">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1.立体化开展禁渔宣传，在牧之路桥西侧河道主要入口增设4处禁渔警示牌，配合流动宣传车广播、定向发放《禁渔须知》宣传单等方式强化公众教育。</w:t>
      </w:r>
    </w:p>
    <w:p w14:paraId="07F23065">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2.实施网格化巡查机制，由平天湖湿地公园管理处联合城市管理局平天湖分局组建专项巡查组，采取“定点值守+机动巡查”模式，对牧之路水系贯通河道进行全面巡查。</w:t>
      </w:r>
    </w:p>
    <w:p w14:paraId="5CD022EF">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黑体" w:hAnsi="黑体" w:eastAsia="黑体" w:cs="黑体"/>
          <w:color w:val="auto"/>
          <w:kern w:val="0"/>
          <w:sz w:val="32"/>
          <w:szCs w:val="32"/>
          <w:highlight w:val="none"/>
          <w:lang w:val="en-US" w:eastAsia="zh-CN" w:bidi="ar"/>
        </w:rPr>
      </w:pPr>
      <w:r>
        <w:rPr>
          <w:rFonts w:hint="eastAsia" w:ascii="黑体" w:hAnsi="黑体" w:eastAsia="黑体" w:cs="黑体"/>
          <w:color w:val="auto"/>
          <w:kern w:val="0"/>
          <w:sz w:val="32"/>
          <w:szCs w:val="32"/>
          <w:highlight w:val="none"/>
          <w:lang w:val="en-US" w:eastAsia="zh-CN" w:bidi="ar"/>
        </w:rPr>
        <w:t>三十二、长江岸线一公里范围内“禁止新建化工项目”落实不力。池州市一直未规范划定长江池州段岸线一公里控制范围，导致对沿江开发建设活动的监督管理难以落到实处，一公里范围内仍审批新建多个化工项目。</w:t>
      </w:r>
    </w:p>
    <w:p w14:paraId="1E498A63">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bookmarkStart w:id="29" w:name="OLE_LINK27"/>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i w:val="0"/>
          <w:iCs w:val="0"/>
          <w:color w:val="auto"/>
          <w:kern w:val="0"/>
          <w:sz w:val="32"/>
          <w:szCs w:val="32"/>
          <w:highlight w:val="none"/>
          <w:u w:val="none"/>
          <w:lang w:val="en-US" w:eastAsia="zh-CN" w:bidi="ar"/>
        </w:rPr>
        <w:t>2026年底。</w:t>
      </w:r>
    </w:p>
    <w:p w14:paraId="628EE5D0">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楷体_GB2312" w:hAnsi="楷体_GB2312" w:eastAsia="楷体_GB2312" w:cs="楷体_GB2312"/>
          <w:color w:val="auto"/>
          <w:sz w:val="32"/>
          <w:szCs w:val="32"/>
          <w:highlight w:val="none"/>
          <w:u w:val="none" w:color="auto"/>
          <w:lang w:val="en-US" w:eastAsia="zh-CN"/>
        </w:rPr>
      </w:pPr>
      <w:r>
        <w:rPr>
          <w:rFonts w:hint="eastAsia" w:ascii="楷体_GB2312" w:hAnsi="楷体_GB2312" w:eastAsia="楷体_GB2312" w:cs="楷体_GB2312"/>
          <w:color w:val="auto"/>
          <w:sz w:val="32"/>
          <w:szCs w:val="32"/>
          <w:highlight w:val="none"/>
        </w:rPr>
        <w:t>整改进展：</w:t>
      </w:r>
      <w:r>
        <w:rPr>
          <w:rFonts w:hint="eastAsia" w:ascii="仿宋_GB2312" w:hAnsi="仿宋_GB2312" w:eastAsia="仿宋_GB2312" w:cs="仿宋_GB2312"/>
          <w:color w:val="auto"/>
          <w:kern w:val="2"/>
          <w:sz w:val="32"/>
          <w:szCs w:val="32"/>
          <w:highlight w:val="none"/>
          <w:lang w:val="en-US" w:eastAsia="zh-CN" w:bidi="ar-SA"/>
        </w:rPr>
        <w:t>已完成阶段性目标，继续推进。</w:t>
      </w:r>
    </w:p>
    <w:bookmarkEnd w:id="29"/>
    <w:p w14:paraId="1FC54791">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1.2024年8月23日，市推动长江经济带发展领导小组召开会议，研究通过了《池州市长江干支流岸线1公里管控线》，明确长江干支流岸线1公里范围，细化各地各部门管控职责，严格长江干支流岸线1公里范围内项目审批建设的监督管理，要求聚焦化工项目审批立项（含技改）、环评、用地等关键环节，严格化工项目审批管理，严禁新建、扩建化工园区和化工项目。</w:t>
      </w:r>
    </w:p>
    <w:p w14:paraId="6F51701F">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2.东至经开区对照新管控线矢量数据，划定长江干流岸线1公里范围套合图，全面细致排查整治2019年以来化工项目。</w:t>
      </w:r>
    </w:p>
    <w:p w14:paraId="69F9B9B2">
      <w:pPr>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黑体" w:hAnsi="黑体" w:eastAsia="黑体" w:cs="黑体"/>
          <w:color w:val="auto"/>
          <w:kern w:val="0"/>
          <w:sz w:val="32"/>
          <w:szCs w:val="32"/>
          <w:highlight w:val="none"/>
          <w:lang w:val="en-US" w:eastAsia="zh-CN" w:bidi="ar"/>
        </w:rPr>
      </w:pPr>
      <w:r>
        <w:rPr>
          <w:rFonts w:hint="eastAsia" w:ascii="黑体" w:hAnsi="黑体" w:eastAsia="黑体" w:cs="黑体"/>
          <w:color w:val="auto"/>
          <w:kern w:val="0"/>
          <w:sz w:val="32"/>
          <w:szCs w:val="32"/>
          <w:highlight w:val="none"/>
          <w:lang w:val="en-US" w:eastAsia="zh-CN" w:bidi="ar"/>
        </w:rPr>
        <w:t>三十三、污水直排问题突出。2023年12月，省生态环境厅、省住房城乡建设厅联合印发的《安徽省污水直排入河问题排查整治专项行动方案》要求，全面摸排污水直排入河问题，加强应急处置，形成问题清单，标本兼治推进问题整改，全面消除污水直排入河现象。池州市住建部门、贵池区整治工作推进不力，部分污水直排问题未得到解决。</w:t>
      </w:r>
    </w:p>
    <w:p w14:paraId="283D6214">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i w:val="0"/>
          <w:iCs w:val="0"/>
          <w:color w:val="auto"/>
          <w:kern w:val="0"/>
          <w:sz w:val="32"/>
          <w:szCs w:val="32"/>
          <w:highlight w:val="none"/>
          <w:u w:val="none"/>
          <w:lang w:val="en-US" w:eastAsia="zh-CN" w:bidi="ar"/>
        </w:rPr>
        <w:t>2025年底。</w:t>
      </w:r>
    </w:p>
    <w:p w14:paraId="232FF20D">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楷体_GB2312" w:hAnsi="楷体_GB2312" w:eastAsia="楷体_GB2312" w:cs="楷体_GB2312"/>
          <w:color w:val="auto"/>
          <w:sz w:val="32"/>
          <w:szCs w:val="32"/>
          <w:highlight w:val="none"/>
          <w:u w:val="none" w:color="auto"/>
          <w:lang w:val="en-US" w:eastAsia="zh-CN"/>
        </w:rPr>
      </w:pPr>
      <w:r>
        <w:rPr>
          <w:rFonts w:hint="eastAsia" w:ascii="楷体_GB2312" w:hAnsi="楷体_GB2312" w:eastAsia="楷体_GB2312" w:cs="楷体_GB2312"/>
          <w:color w:val="auto"/>
          <w:sz w:val="32"/>
          <w:szCs w:val="32"/>
          <w:highlight w:val="none"/>
        </w:rPr>
        <w:t>整改进展：</w:t>
      </w:r>
      <w:r>
        <w:rPr>
          <w:rFonts w:hint="eastAsia" w:ascii="仿宋_GB2312" w:hAnsi="仿宋_GB2312" w:eastAsia="仿宋_GB2312" w:cs="仿宋_GB2312"/>
          <w:color w:val="auto"/>
          <w:kern w:val="2"/>
          <w:sz w:val="32"/>
          <w:szCs w:val="32"/>
          <w:highlight w:val="none"/>
          <w:lang w:val="en-US" w:eastAsia="zh-CN" w:bidi="ar-SA"/>
        </w:rPr>
        <w:t>已完成整改。</w:t>
      </w:r>
    </w:p>
    <w:p w14:paraId="7D09DAB6">
      <w:pPr>
        <w:pStyle w:val="4"/>
        <w:pageBreakBefore w:val="0"/>
        <w:widowControl w:val="0"/>
        <w:kinsoku/>
        <w:wordWrap/>
        <w:topLinePunct w:val="0"/>
        <w:autoSpaceDE/>
        <w:autoSpaceDN/>
        <w:bidi w:val="0"/>
        <w:adjustRightInd/>
        <w:snapToGrid/>
        <w:spacing w:before="0" w:after="0" w:line="560" w:lineRule="exact"/>
        <w:ind w:firstLine="640" w:firstLineChars="200"/>
        <w:textAlignment w:val="auto"/>
        <w:rPr>
          <w:rFonts w:hint="eastAsia" w:ascii="仿宋_GB2312" w:hAnsi="仿宋_GB2312" w:eastAsia="仿宋_GB2312" w:cs="仿宋_GB2312"/>
          <w:b w:val="0"/>
          <w:bCs w:val="0"/>
          <w:i w:val="0"/>
          <w:iCs w:val="0"/>
          <w:color w:val="auto"/>
          <w:kern w:val="0"/>
          <w:sz w:val="32"/>
          <w:szCs w:val="32"/>
          <w:highlight w:val="none"/>
          <w:u w:val="none"/>
          <w:lang w:val="en-US" w:eastAsia="zh-CN" w:bidi="ar"/>
        </w:rPr>
      </w:pPr>
      <w:r>
        <w:rPr>
          <w:rFonts w:hint="eastAsia" w:ascii="仿宋_GB2312" w:hAnsi="仿宋_GB2312" w:eastAsia="仿宋_GB2312" w:cs="仿宋_GB2312"/>
          <w:b w:val="0"/>
          <w:bCs w:val="0"/>
          <w:i w:val="0"/>
          <w:iCs w:val="0"/>
          <w:color w:val="auto"/>
          <w:kern w:val="0"/>
          <w:sz w:val="32"/>
          <w:szCs w:val="32"/>
          <w:highlight w:val="none"/>
          <w:u w:val="none"/>
          <w:lang w:val="en-US" w:eastAsia="zh-CN" w:bidi="ar"/>
        </w:rPr>
        <w:t>1.市住房和城乡建设局制定印发《池州市主城区污水直排问题现场核验工作制度》，并严格落实验收销号制度，确保改彻底，改到位。</w:t>
      </w:r>
    </w:p>
    <w:p w14:paraId="214532C1">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b w:val="0"/>
          <w:bCs w:val="0"/>
          <w:i w:val="0"/>
          <w:iCs w:val="0"/>
          <w:color w:val="auto"/>
          <w:kern w:val="0"/>
          <w:sz w:val="32"/>
          <w:szCs w:val="32"/>
          <w:highlight w:val="none"/>
          <w:u w:val="none"/>
          <w:lang w:val="en-US" w:eastAsia="zh-CN" w:bidi="ar"/>
        </w:rPr>
      </w:pPr>
      <w:r>
        <w:rPr>
          <w:rFonts w:hint="eastAsia" w:ascii="仿宋_GB2312" w:hAnsi="仿宋_GB2312" w:eastAsia="仿宋_GB2312" w:cs="仿宋_GB2312"/>
          <w:b w:val="0"/>
          <w:bCs w:val="0"/>
          <w:i w:val="0"/>
          <w:iCs w:val="0"/>
          <w:color w:val="auto"/>
          <w:kern w:val="0"/>
          <w:sz w:val="32"/>
          <w:szCs w:val="32"/>
          <w:highlight w:val="none"/>
          <w:u w:val="none"/>
          <w:lang w:val="en-US" w:eastAsia="zh-CN" w:bidi="ar"/>
        </w:rPr>
        <w:t>2.市住房和城乡建设局已于2025年4月份举办全市排水业务培训工作，提升人员业务知识水平。</w:t>
      </w:r>
    </w:p>
    <w:p w14:paraId="4266B574">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b w:val="0"/>
          <w:bCs w:val="0"/>
          <w:i w:val="0"/>
          <w:iCs w:val="0"/>
          <w:color w:val="auto"/>
          <w:kern w:val="0"/>
          <w:sz w:val="32"/>
          <w:szCs w:val="32"/>
          <w:highlight w:val="none"/>
          <w:u w:val="none"/>
          <w:lang w:val="en-US" w:eastAsia="zh-CN" w:bidi="ar"/>
        </w:rPr>
        <w:t>3.已组织开展排口“回头看”，并建立现场核查台账。</w:t>
      </w:r>
    </w:p>
    <w:p w14:paraId="739A411C">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黑体" w:hAnsi="黑体" w:eastAsia="黑体" w:cs="黑体"/>
          <w:color w:val="auto"/>
          <w:kern w:val="0"/>
          <w:sz w:val="32"/>
          <w:szCs w:val="32"/>
          <w:highlight w:val="none"/>
          <w:lang w:val="en-US" w:eastAsia="zh-CN" w:bidi="ar"/>
        </w:rPr>
      </w:pPr>
      <w:r>
        <w:rPr>
          <w:rFonts w:hint="eastAsia" w:ascii="黑体" w:hAnsi="黑体" w:eastAsia="黑体" w:cs="黑体"/>
          <w:color w:val="auto"/>
          <w:kern w:val="0"/>
          <w:sz w:val="32"/>
          <w:szCs w:val="32"/>
          <w:highlight w:val="none"/>
          <w:lang w:val="en-US" w:eastAsia="zh-CN" w:bidi="ar"/>
        </w:rPr>
        <w:t>三十四、三江明珠小区东侧雨水涵管晴天排污，采样监测发现，氨氮浓度超地表水环境质量Ⅲ类标准。</w:t>
      </w:r>
    </w:p>
    <w:p w14:paraId="13627778">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i w:val="0"/>
          <w:iCs w:val="0"/>
          <w:color w:val="auto"/>
          <w:kern w:val="0"/>
          <w:sz w:val="32"/>
          <w:szCs w:val="32"/>
          <w:highlight w:val="none"/>
          <w:u w:val="none"/>
          <w:lang w:val="en-US" w:eastAsia="zh-CN" w:bidi="ar"/>
        </w:rPr>
        <w:t>2025年底。</w:t>
      </w:r>
    </w:p>
    <w:p w14:paraId="4F29E4F5">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楷体_GB2312" w:hAnsi="楷体_GB2312" w:eastAsia="楷体_GB2312" w:cs="楷体_GB2312"/>
          <w:color w:val="auto"/>
          <w:sz w:val="32"/>
          <w:szCs w:val="32"/>
          <w:highlight w:val="none"/>
          <w:u w:val="none" w:color="auto"/>
          <w:lang w:val="en-US" w:eastAsia="zh-CN"/>
        </w:rPr>
      </w:pPr>
      <w:r>
        <w:rPr>
          <w:rFonts w:hint="eastAsia" w:ascii="楷体_GB2312" w:hAnsi="楷体_GB2312" w:eastAsia="楷体_GB2312" w:cs="楷体_GB2312"/>
          <w:color w:val="auto"/>
          <w:sz w:val="32"/>
          <w:szCs w:val="32"/>
          <w:highlight w:val="none"/>
        </w:rPr>
        <w:t>整改进展：</w:t>
      </w:r>
      <w:r>
        <w:rPr>
          <w:rFonts w:hint="eastAsia" w:ascii="仿宋_GB2312" w:hAnsi="仿宋_GB2312" w:eastAsia="仿宋_GB2312" w:cs="仿宋_GB2312"/>
          <w:color w:val="auto"/>
          <w:kern w:val="2"/>
          <w:sz w:val="32"/>
          <w:szCs w:val="32"/>
          <w:highlight w:val="none"/>
          <w:lang w:val="en-US" w:eastAsia="zh-CN" w:bidi="ar-SA"/>
        </w:rPr>
        <w:t>已完成整改。</w:t>
      </w:r>
    </w:p>
    <w:p w14:paraId="20BE88DD">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1.老城区老旧管网提质增效修复工程EPC项目（昭明大道段）已全部完工，经检测项目完工后下游管网污水浓度明显提升。</w:t>
      </w:r>
    </w:p>
    <w:p w14:paraId="2871E32F">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2.结合老旧管网更新改造工程，完成上游小区溯源排查工作以及对三江明珠、碧水庄园等小区错混接改造。</w:t>
      </w:r>
    </w:p>
    <w:p w14:paraId="668AED3A">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黑体" w:hAnsi="黑体" w:eastAsia="黑体" w:cs="黑体"/>
          <w:color w:val="auto"/>
          <w:spacing w:val="-11"/>
          <w:kern w:val="0"/>
          <w:sz w:val="32"/>
          <w:szCs w:val="32"/>
          <w:highlight w:val="none"/>
          <w:lang w:val="en-US" w:eastAsia="zh-CN" w:bidi="ar"/>
        </w:rPr>
      </w:pPr>
      <w:r>
        <w:rPr>
          <w:rFonts w:hint="eastAsia" w:ascii="黑体" w:hAnsi="黑体" w:eastAsia="黑体" w:cs="黑体"/>
          <w:color w:val="auto"/>
          <w:kern w:val="0"/>
          <w:sz w:val="32"/>
          <w:szCs w:val="32"/>
          <w:highlight w:val="none"/>
          <w:lang w:val="en-US" w:eastAsia="zh-CN" w:bidi="ar"/>
        </w:rPr>
        <w:t>三十五、江岸花园小区北侧和梅龙市场监督管理所北侧雨水排口有污水直排</w:t>
      </w:r>
      <w:r>
        <w:rPr>
          <w:rFonts w:hint="eastAsia" w:ascii="黑体" w:hAnsi="黑体" w:eastAsia="黑体" w:cs="黑体"/>
          <w:color w:val="auto"/>
          <w:spacing w:val="-11"/>
          <w:kern w:val="0"/>
          <w:sz w:val="32"/>
          <w:szCs w:val="32"/>
          <w:highlight w:val="none"/>
          <w:lang w:val="en-US" w:eastAsia="zh-CN" w:bidi="ar"/>
        </w:rPr>
        <w:t>。</w:t>
      </w:r>
    </w:p>
    <w:p w14:paraId="6BF50F7E">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i w:val="0"/>
          <w:iCs w:val="0"/>
          <w:color w:val="auto"/>
          <w:kern w:val="0"/>
          <w:sz w:val="32"/>
          <w:szCs w:val="32"/>
          <w:highlight w:val="none"/>
          <w:u w:val="none"/>
          <w:lang w:val="en-US" w:eastAsia="zh-CN" w:bidi="ar"/>
        </w:rPr>
        <w:t>2025年6月底。</w:t>
      </w:r>
    </w:p>
    <w:p w14:paraId="3EB766D4">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楷体_GB2312" w:hAnsi="楷体_GB2312" w:eastAsia="楷体_GB2312" w:cs="楷体_GB2312"/>
          <w:color w:val="auto"/>
          <w:sz w:val="32"/>
          <w:szCs w:val="32"/>
          <w:highlight w:val="none"/>
          <w:u w:val="none" w:color="auto"/>
          <w:lang w:val="en-US" w:eastAsia="zh-CN"/>
        </w:rPr>
      </w:pPr>
      <w:r>
        <w:rPr>
          <w:rFonts w:hint="eastAsia" w:ascii="楷体_GB2312" w:hAnsi="楷体_GB2312" w:eastAsia="楷体_GB2312" w:cs="楷体_GB2312"/>
          <w:color w:val="auto"/>
          <w:sz w:val="32"/>
          <w:szCs w:val="32"/>
          <w:highlight w:val="none"/>
        </w:rPr>
        <w:t>整改进展：</w:t>
      </w:r>
      <w:r>
        <w:rPr>
          <w:rFonts w:hint="eastAsia" w:ascii="仿宋_GB2312" w:hAnsi="仿宋_GB2312" w:eastAsia="仿宋_GB2312" w:cs="仿宋_GB2312"/>
          <w:color w:val="auto"/>
          <w:kern w:val="2"/>
          <w:sz w:val="32"/>
          <w:szCs w:val="32"/>
          <w:highlight w:val="none"/>
          <w:lang w:val="en-US" w:eastAsia="zh-CN" w:bidi="ar-SA"/>
        </w:rPr>
        <w:t>已完成整改。</w:t>
      </w:r>
    </w:p>
    <w:p w14:paraId="6F612563">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1.已采取新建污水提升泵、增加截留井应急措施，将江岸花园生活污水收集进入污水管网。</w:t>
      </w:r>
    </w:p>
    <w:p w14:paraId="435C4B6B">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2.已完成梅龙街道集镇驻地现有雨污管网的全面排查，并制定了整治方案和工程设计。</w:t>
      </w:r>
    </w:p>
    <w:p w14:paraId="7B88A2C5">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3.根据整治方案和工程设计，组织实施了集镇驻地雨污管网改造工程，实行雨污分流。</w:t>
      </w:r>
    </w:p>
    <w:p w14:paraId="18402D1F">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黑体" w:hAnsi="黑体" w:eastAsia="黑体" w:cs="黑体"/>
          <w:color w:val="auto"/>
          <w:kern w:val="0"/>
          <w:sz w:val="32"/>
          <w:szCs w:val="32"/>
          <w:highlight w:val="none"/>
          <w:lang w:val="en-US" w:eastAsia="zh-CN" w:bidi="ar"/>
        </w:rPr>
      </w:pPr>
      <w:r>
        <w:rPr>
          <w:rFonts w:hint="eastAsia" w:ascii="黑体" w:hAnsi="黑体" w:eastAsia="黑体" w:cs="黑体"/>
          <w:color w:val="auto"/>
          <w:kern w:val="0"/>
          <w:sz w:val="32"/>
          <w:szCs w:val="32"/>
          <w:highlight w:val="none"/>
          <w:lang w:val="en-US" w:eastAsia="zh-CN" w:bidi="ar"/>
        </w:rPr>
        <w:t>三十六、长岗新村旁污水管网被截断，污水直排周边水塘。</w:t>
      </w:r>
    </w:p>
    <w:p w14:paraId="7AFBCD50">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i w:val="0"/>
          <w:iCs w:val="0"/>
          <w:color w:val="auto"/>
          <w:kern w:val="0"/>
          <w:sz w:val="32"/>
          <w:szCs w:val="32"/>
          <w:highlight w:val="none"/>
          <w:u w:val="none"/>
          <w:lang w:val="en-US" w:eastAsia="zh-CN" w:bidi="ar"/>
        </w:rPr>
        <w:t>2025年6月底。</w:t>
      </w:r>
    </w:p>
    <w:p w14:paraId="11CF39DD">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楷体_GB2312" w:hAnsi="楷体_GB2312" w:eastAsia="楷体_GB2312" w:cs="楷体_GB2312"/>
          <w:color w:val="auto"/>
          <w:sz w:val="32"/>
          <w:szCs w:val="32"/>
          <w:highlight w:val="none"/>
          <w:u w:val="none" w:color="auto"/>
          <w:lang w:val="en-US" w:eastAsia="zh-CN"/>
        </w:rPr>
      </w:pPr>
      <w:r>
        <w:rPr>
          <w:rFonts w:hint="eastAsia" w:ascii="楷体_GB2312" w:hAnsi="楷体_GB2312" w:eastAsia="楷体_GB2312" w:cs="楷体_GB2312"/>
          <w:color w:val="auto"/>
          <w:sz w:val="32"/>
          <w:szCs w:val="32"/>
          <w:highlight w:val="none"/>
        </w:rPr>
        <w:t>整改进展：</w:t>
      </w:r>
      <w:r>
        <w:rPr>
          <w:rFonts w:hint="eastAsia" w:ascii="仿宋_GB2312" w:hAnsi="仿宋_GB2312" w:eastAsia="仿宋_GB2312" w:cs="仿宋_GB2312"/>
          <w:color w:val="auto"/>
          <w:kern w:val="2"/>
          <w:sz w:val="32"/>
          <w:szCs w:val="32"/>
          <w:highlight w:val="none"/>
          <w:lang w:val="en-US" w:eastAsia="zh-CN" w:bidi="ar-SA"/>
        </w:rPr>
        <w:t>已完成整改。</w:t>
      </w:r>
    </w:p>
    <w:p w14:paraId="216DEA0B">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1.已对管道破损位置通过设置检查井的方式开展修复工程，目前管道运行正常，无污水直排现象。</w:t>
      </w:r>
    </w:p>
    <w:p w14:paraId="162393E7">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2.已组织开展巡查，杜绝截断污水管网问题再次发生。</w:t>
      </w:r>
    </w:p>
    <w:p w14:paraId="72F1025B">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黑体" w:hAnsi="黑体" w:eastAsia="黑体" w:cs="黑体"/>
          <w:color w:val="auto"/>
          <w:kern w:val="0"/>
          <w:sz w:val="32"/>
          <w:szCs w:val="32"/>
          <w:highlight w:val="none"/>
          <w:lang w:val="en-US" w:eastAsia="zh-CN" w:bidi="ar"/>
        </w:rPr>
      </w:pPr>
      <w:r>
        <w:rPr>
          <w:rFonts w:hint="eastAsia" w:ascii="黑体" w:hAnsi="黑体" w:eastAsia="黑体" w:cs="黑体"/>
          <w:color w:val="auto"/>
          <w:kern w:val="0"/>
          <w:sz w:val="32"/>
          <w:szCs w:val="32"/>
          <w:highlight w:val="none"/>
          <w:lang w:val="en-US" w:eastAsia="zh-CN" w:bidi="ar"/>
        </w:rPr>
        <w:t>三十七、青阳县对城区污水直排入河问题排查不细致。督察组在城区两条主要河流富阳河、东河发现多处污水直排入河问题，外排污水经富阳河、东河汇入青通河。</w:t>
      </w:r>
    </w:p>
    <w:p w14:paraId="018795BF">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i w:val="0"/>
          <w:iCs w:val="0"/>
          <w:color w:val="auto"/>
          <w:kern w:val="0"/>
          <w:sz w:val="32"/>
          <w:szCs w:val="32"/>
          <w:highlight w:val="none"/>
          <w:u w:val="none"/>
          <w:lang w:val="en-US" w:eastAsia="zh-CN" w:bidi="ar"/>
        </w:rPr>
        <w:t>2025年3月底。</w:t>
      </w:r>
    </w:p>
    <w:p w14:paraId="78FF09B4">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整改进展：已完成整改。</w:t>
      </w:r>
    </w:p>
    <w:p w14:paraId="65CAE816">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1.采取截污和废弃排口封堵措施，完成富阳北路银兴大药房处4个排口、平岗路与河西路交口处2个排口应急整治，阻断污水直排河道。</w:t>
      </w:r>
    </w:p>
    <w:p w14:paraId="18FB8C1A">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2.对6个排口源头管网实施工程治理措施，已完成九莲小区雨污管网改造工程、双溪安置区及碧桃菜市场内部雨污合流管网改造工程。</w:t>
      </w:r>
    </w:p>
    <w:p w14:paraId="458DA8C6">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3.组织对青通河流域重点河段布设68个监测点位开展水质检测分析，动态排查发现城区40个排口问题已完成整改。</w:t>
      </w:r>
    </w:p>
    <w:p w14:paraId="3C4A6168">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黑体" w:hAnsi="黑体" w:eastAsia="黑体" w:cs="黑体"/>
          <w:color w:val="auto"/>
          <w:kern w:val="0"/>
          <w:sz w:val="32"/>
          <w:szCs w:val="32"/>
          <w:highlight w:val="none"/>
          <w:lang w:val="en-US" w:eastAsia="zh-CN" w:bidi="ar"/>
        </w:rPr>
      </w:pPr>
      <w:r>
        <w:rPr>
          <w:rFonts w:hint="eastAsia" w:ascii="黑体" w:hAnsi="黑体" w:eastAsia="黑体" w:cs="黑体"/>
          <w:color w:val="auto"/>
          <w:kern w:val="0"/>
          <w:sz w:val="32"/>
          <w:szCs w:val="32"/>
          <w:highlight w:val="none"/>
          <w:lang w:val="en-US" w:eastAsia="zh-CN" w:bidi="ar"/>
        </w:rPr>
        <w:t>三十八、管网排查整治推进滞后。2019年4月，住房和城乡建设部等部门印发的《城镇污水处理提质增效三年行动方案（2019—2021年）》要求，实施管网混错接改造、管网更新、破损修复改造等工程。池州市城区雨污分流改造滞后，清溪河流域沿街排查发现115个一级排水户存在雨污混接问题。</w:t>
      </w:r>
    </w:p>
    <w:p w14:paraId="60E277B6">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i w:val="0"/>
          <w:iCs w:val="0"/>
          <w:color w:val="auto"/>
          <w:kern w:val="0"/>
          <w:sz w:val="32"/>
          <w:szCs w:val="32"/>
          <w:highlight w:val="none"/>
          <w:u w:val="none"/>
          <w:lang w:val="en-US" w:eastAsia="zh-CN" w:bidi="ar"/>
        </w:rPr>
        <w:t>2025年底。</w:t>
      </w:r>
    </w:p>
    <w:p w14:paraId="25ED6B41">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kern w:val="2"/>
          <w:sz w:val="32"/>
          <w:szCs w:val="32"/>
          <w:highlight w:val="none"/>
          <w:lang w:val="en-US" w:eastAsia="zh-CN" w:bidi="ar-SA"/>
        </w:rPr>
      </w:pPr>
      <w:r>
        <w:rPr>
          <w:rFonts w:hint="eastAsia" w:ascii="楷体_GB2312" w:hAnsi="楷体_GB2312" w:eastAsia="楷体_GB2312" w:cs="楷体_GB2312"/>
          <w:color w:val="auto"/>
          <w:sz w:val="32"/>
          <w:szCs w:val="32"/>
          <w:highlight w:val="none"/>
        </w:rPr>
        <w:t>整改进展：</w:t>
      </w:r>
      <w:r>
        <w:rPr>
          <w:rFonts w:hint="eastAsia" w:ascii="仿宋_GB2312" w:hAnsi="仿宋_GB2312" w:eastAsia="仿宋_GB2312" w:cs="仿宋_GB2312"/>
          <w:color w:val="auto"/>
          <w:kern w:val="2"/>
          <w:sz w:val="32"/>
          <w:szCs w:val="32"/>
          <w:highlight w:val="none"/>
          <w:lang w:val="en-US" w:eastAsia="zh-CN" w:bidi="ar-SA"/>
        </w:rPr>
        <w:t>已完成整改。</w:t>
      </w:r>
    </w:p>
    <w:p w14:paraId="0B8A71EC">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b w:val="0"/>
          <w:bCs w:val="0"/>
          <w:i w:val="0"/>
          <w:iCs w:val="0"/>
          <w:color w:val="auto"/>
          <w:kern w:val="0"/>
          <w:sz w:val="32"/>
          <w:szCs w:val="32"/>
          <w:highlight w:val="none"/>
          <w:u w:val="none"/>
          <w:lang w:val="en-US" w:eastAsia="zh-CN" w:bidi="ar"/>
        </w:rPr>
      </w:pPr>
      <w:bookmarkStart w:id="30" w:name="OLE_LINK66"/>
      <w:r>
        <w:rPr>
          <w:rFonts w:hint="eastAsia" w:ascii="仿宋_GB2312" w:hAnsi="仿宋_GB2312" w:eastAsia="仿宋_GB2312" w:cs="仿宋_GB2312"/>
          <w:b w:val="0"/>
          <w:bCs w:val="0"/>
          <w:i w:val="0"/>
          <w:iCs w:val="0"/>
          <w:color w:val="auto"/>
          <w:kern w:val="0"/>
          <w:sz w:val="32"/>
          <w:szCs w:val="32"/>
          <w:highlight w:val="none"/>
          <w:u w:val="none"/>
          <w:lang w:val="en-US" w:eastAsia="zh-CN" w:bidi="ar"/>
        </w:rPr>
        <w:t>1.结合池州市城区排水防涝综合能力提升建设工程已完成115个一级排水户溯源排查工作，并根据排查结果实施整治，目前已完成清溪河流域沿线小区错混接整治。</w:t>
      </w:r>
    </w:p>
    <w:p w14:paraId="4F524119">
      <w:pPr>
        <w:pStyle w:val="4"/>
        <w:keepNext/>
        <w:keepLines/>
        <w:pageBreakBefore w:val="0"/>
        <w:widowControl w:val="0"/>
        <w:kinsoku/>
        <w:wordWrap/>
        <w:overflowPunct/>
        <w:topLinePunct w:val="0"/>
        <w:autoSpaceDE/>
        <w:autoSpaceDN/>
        <w:bidi w:val="0"/>
        <w:adjustRightInd/>
        <w:snapToGrid/>
        <w:spacing w:before="0" w:after="0" w:line="560" w:lineRule="exact"/>
        <w:ind w:firstLine="640" w:firstLineChars="200"/>
        <w:textAlignment w:val="auto"/>
        <w:outlineLvl w:val="1"/>
        <w:rPr>
          <w:rFonts w:hint="eastAsia" w:ascii="仿宋_GB2312" w:hAnsi="仿宋_GB2312" w:eastAsia="仿宋_GB2312" w:cs="仿宋_GB2312"/>
          <w:b w:val="0"/>
          <w:bCs w:val="0"/>
          <w:i w:val="0"/>
          <w:iCs w:val="0"/>
          <w:color w:val="auto"/>
          <w:kern w:val="0"/>
          <w:sz w:val="32"/>
          <w:szCs w:val="32"/>
          <w:highlight w:val="none"/>
          <w:u w:val="none"/>
          <w:lang w:val="en-US" w:eastAsia="zh-CN" w:bidi="ar"/>
        </w:rPr>
      </w:pPr>
      <w:r>
        <w:rPr>
          <w:rFonts w:hint="eastAsia" w:ascii="仿宋_GB2312" w:hAnsi="仿宋_GB2312" w:eastAsia="仿宋_GB2312" w:cs="仿宋_GB2312"/>
          <w:b w:val="0"/>
          <w:bCs w:val="0"/>
          <w:i w:val="0"/>
          <w:iCs w:val="0"/>
          <w:color w:val="auto"/>
          <w:kern w:val="0"/>
          <w:sz w:val="32"/>
          <w:szCs w:val="32"/>
          <w:highlight w:val="none"/>
          <w:u w:val="none"/>
          <w:lang w:val="en-US" w:eastAsia="zh-CN" w:bidi="ar"/>
        </w:rPr>
        <w:t>2.已印发《池州市主城区排水户分级分类管理规定(试行)》，加强主城区排水行业监管。</w:t>
      </w:r>
    </w:p>
    <w:p w14:paraId="727FA2D9">
      <w:pPr>
        <w:pStyle w:val="4"/>
        <w:keepNext/>
        <w:keepLines/>
        <w:pageBreakBefore w:val="0"/>
        <w:widowControl w:val="0"/>
        <w:kinsoku/>
        <w:wordWrap/>
        <w:overflowPunct/>
        <w:topLinePunct w:val="0"/>
        <w:autoSpaceDE/>
        <w:autoSpaceDN/>
        <w:bidi w:val="0"/>
        <w:adjustRightInd/>
        <w:snapToGrid/>
        <w:spacing w:before="0" w:after="0" w:line="560" w:lineRule="exact"/>
        <w:ind w:firstLine="640" w:firstLineChars="200"/>
        <w:textAlignment w:val="auto"/>
        <w:outlineLvl w:val="1"/>
        <w:rPr>
          <w:rFonts w:hint="eastAsia" w:ascii="仿宋_GB2312" w:hAnsi="仿宋_GB2312" w:eastAsia="仿宋_GB2312" w:cs="仿宋_GB2312"/>
          <w:b w:val="0"/>
          <w:bCs w:val="0"/>
          <w:i w:val="0"/>
          <w:iCs w:val="0"/>
          <w:color w:val="auto"/>
          <w:kern w:val="0"/>
          <w:sz w:val="32"/>
          <w:szCs w:val="32"/>
          <w:highlight w:val="none"/>
          <w:u w:val="none"/>
          <w:lang w:val="en-US" w:eastAsia="zh-CN" w:bidi="ar"/>
        </w:rPr>
      </w:pPr>
      <w:r>
        <w:rPr>
          <w:rFonts w:hint="eastAsia" w:ascii="仿宋_GB2312" w:hAnsi="仿宋_GB2312" w:eastAsia="仿宋_GB2312" w:cs="仿宋_GB2312"/>
          <w:b w:val="0"/>
          <w:bCs w:val="0"/>
          <w:i w:val="0"/>
          <w:iCs w:val="0"/>
          <w:color w:val="auto"/>
          <w:kern w:val="0"/>
          <w:sz w:val="32"/>
          <w:szCs w:val="32"/>
          <w:highlight w:val="none"/>
          <w:u w:val="none"/>
          <w:lang w:val="en-US" w:eastAsia="zh-CN" w:bidi="ar"/>
        </w:rPr>
        <w:t>3.已完成排水PPP绩效考核办法修订工作，明确污水管网排查周期，进一步落实按效付费。</w:t>
      </w:r>
    </w:p>
    <w:bookmarkEnd w:id="30"/>
    <w:p w14:paraId="20238BDF">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黑体" w:hAnsi="黑体" w:eastAsia="黑体" w:cs="黑体"/>
          <w:color w:val="auto"/>
          <w:kern w:val="0"/>
          <w:sz w:val="32"/>
          <w:szCs w:val="32"/>
          <w:highlight w:val="none"/>
          <w:lang w:val="en-US" w:eastAsia="zh-CN" w:bidi="ar"/>
        </w:rPr>
      </w:pPr>
      <w:bookmarkStart w:id="31" w:name="OLE_LINK81"/>
      <w:r>
        <w:rPr>
          <w:rFonts w:hint="eastAsia" w:ascii="黑体" w:hAnsi="黑体" w:eastAsia="黑体" w:cs="黑体"/>
          <w:color w:val="auto"/>
          <w:kern w:val="0"/>
          <w:sz w:val="32"/>
          <w:szCs w:val="32"/>
          <w:highlight w:val="none"/>
          <w:lang w:val="en-US" w:eastAsia="zh-CN" w:bidi="ar"/>
        </w:rPr>
        <w:t>三十九、城市华庭、怡和家园等18个已完成雨污分流改造的老旧小区，维多利亚、平湖观邸等9个新建小区，均存在将污水排入雨水管网问题。</w:t>
      </w:r>
    </w:p>
    <w:bookmarkEnd w:id="31"/>
    <w:p w14:paraId="0842445A">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i w:val="0"/>
          <w:iCs w:val="0"/>
          <w:color w:val="auto"/>
          <w:kern w:val="0"/>
          <w:sz w:val="32"/>
          <w:szCs w:val="32"/>
          <w:highlight w:val="none"/>
          <w:u w:val="none"/>
          <w:lang w:val="en-US" w:eastAsia="zh-CN" w:bidi="ar"/>
        </w:rPr>
        <w:t>2026年底。</w:t>
      </w:r>
    </w:p>
    <w:p w14:paraId="1B25D05A">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楷体_GB2312" w:hAnsi="楷体_GB2312" w:eastAsia="楷体_GB2312" w:cs="楷体_GB2312"/>
          <w:color w:val="auto"/>
          <w:sz w:val="32"/>
          <w:szCs w:val="32"/>
          <w:highlight w:val="none"/>
          <w:u w:val="none" w:color="auto"/>
          <w:lang w:val="en-US" w:eastAsia="zh-CN"/>
        </w:rPr>
      </w:pPr>
      <w:r>
        <w:rPr>
          <w:rFonts w:hint="eastAsia" w:ascii="楷体_GB2312" w:hAnsi="楷体_GB2312" w:eastAsia="楷体_GB2312" w:cs="楷体_GB2312"/>
          <w:color w:val="auto"/>
          <w:sz w:val="32"/>
          <w:szCs w:val="32"/>
          <w:highlight w:val="none"/>
        </w:rPr>
        <w:t>整改进展：</w:t>
      </w:r>
      <w:r>
        <w:rPr>
          <w:rFonts w:hint="eastAsia" w:ascii="仿宋_GB2312" w:hAnsi="仿宋_GB2312" w:eastAsia="仿宋_GB2312" w:cs="仿宋_GB2312"/>
          <w:color w:val="auto"/>
          <w:kern w:val="2"/>
          <w:sz w:val="32"/>
          <w:szCs w:val="32"/>
          <w:highlight w:val="none"/>
          <w:lang w:val="en-US" w:eastAsia="zh-CN" w:bidi="ar-SA"/>
        </w:rPr>
        <w:t>已完成阶段性目标，继续推进。</w:t>
      </w:r>
    </w:p>
    <w:p w14:paraId="053CF016">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1.梅龙路与人民路交口处排口应急处理已完成。</w:t>
      </w:r>
    </w:p>
    <w:p w14:paraId="380377A5">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2.已完成27个小区管网排查检测，针对检测问题实施整治，目前已整治完成城市华庭、怡和家园、维多利亚等17小区，剩余8个小区正在按计划有序推进整改中。</w:t>
      </w:r>
    </w:p>
    <w:p w14:paraId="1AFC7273">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3.清溪污水处理厂进厂生化需氧量浓度已达到100mg/L。</w:t>
      </w:r>
    </w:p>
    <w:p w14:paraId="769F3F6C">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黑体" w:hAnsi="黑体" w:eastAsia="黑体" w:cs="黑体"/>
          <w:color w:val="auto"/>
          <w:kern w:val="0"/>
          <w:sz w:val="32"/>
          <w:szCs w:val="32"/>
          <w:highlight w:val="none"/>
          <w:lang w:val="en-US" w:eastAsia="zh-CN" w:bidi="ar"/>
        </w:rPr>
      </w:pPr>
      <w:r>
        <w:rPr>
          <w:rFonts w:hint="eastAsia" w:ascii="黑体" w:hAnsi="黑体" w:eastAsia="黑体" w:cs="黑体"/>
          <w:color w:val="auto"/>
          <w:kern w:val="0"/>
          <w:sz w:val="32"/>
          <w:szCs w:val="32"/>
          <w:highlight w:val="none"/>
          <w:lang w:val="en-US" w:eastAsia="zh-CN" w:bidi="ar"/>
        </w:rPr>
        <w:t>四十、池州市住建部门在沿河雨水涵管末端设置25个截流井，雨季存在污水溢流问题。5月31日降雨期间，清风路桥东北侧、紫悦府别墅西侧等多个截流井污水外溢。</w:t>
      </w:r>
    </w:p>
    <w:p w14:paraId="2B3BBFB8">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i w:val="0"/>
          <w:iCs w:val="0"/>
          <w:color w:val="auto"/>
          <w:kern w:val="0"/>
          <w:sz w:val="32"/>
          <w:szCs w:val="32"/>
          <w:highlight w:val="none"/>
          <w:u w:val="none"/>
          <w:lang w:val="en-US" w:eastAsia="zh-CN" w:bidi="ar"/>
        </w:rPr>
        <w:t>2025年底。</w:t>
      </w:r>
    </w:p>
    <w:p w14:paraId="23A6F8BC">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楷体_GB2312" w:hAnsi="楷体_GB2312" w:eastAsia="楷体_GB2312" w:cs="楷体_GB2312"/>
          <w:color w:val="auto"/>
          <w:sz w:val="32"/>
          <w:szCs w:val="32"/>
          <w:highlight w:val="none"/>
          <w:u w:val="none" w:color="auto"/>
          <w:lang w:val="en-US" w:eastAsia="zh-CN"/>
        </w:rPr>
      </w:pPr>
      <w:r>
        <w:rPr>
          <w:rFonts w:hint="eastAsia" w:ascii="楷体_GB2312" w:hAnsi="楷体_GB2312" w:eastAsia="楷体_GB2312" w:cs="楷体_GB2312"/>
          <w:color w:val="auto"/>
          <w:sz w:val="32"/>
          <w:szCs w:val="32"/>
          <w:highlight w:val="none"/>
        </w:rPr>
        <w:t>整改进展：</w:t>
      </w:r>
      <w:r>
        <w:rPr>
          <w:rFonts w:hint="eastAsia" w:ascii="仿宋_GB2312" w:hAnsi="仿宋_GB2312" w:eastAsia="仿宋_GB2312" w:cs="仿宋_GB2312"/>
          <w:color w:val="auto"/>
          <w:kern w:val="2"/>
          <w:sz w:val="32"/>
          <w:szCs w:val="32"/>
          <w:highlight w:val="none"/>
          <w:lang w:val="en-US" w:eastAsia="zh-CN" w:bidi="ar-SA"/>
        </w:rPr>
        <w:t>已完成整改。</w:t>
      </w:r>
    </w:p>
    <w:p w14:paraId="48E160B5">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bookmarkStart w:id="32" w:name="OLE_LINK68"/>
      <w:r>
        <w:rPr>
          <w:rFonts w:hint="eastAsia" w:ascii="仿宋_GB2312" w:hAnsi="仿宋_GB2312" w:eastAsia="仿宋_GB2312" w:cs="仿宋_GB2312"/>
          <w:i w:val="0"/>
          <w:iCs w:val="0"/>
          <w:color w:val="auto"/>
          <w:kern w:val="0"/>
          <w:sz w:val="32"/>
          <w:szCs w:val="32"/>
          <w:highlight w:val="none"/>
          <w:u w:val="none"/>
          <w:lang w:val="en-US" w:eastAsia="zh-CN" w:bidi="ar"/>
        </w:rPr>
        <w:t>1.清风路桥东北侧排口已整改完成，对上游混流用户进行改造，末端截污设施废除。紫悦府别墅西侧存在两个排口，其中一个排口已完成上游清心佳园小区雨污分流改造；另一个属于紫悦府小区直排口，已完成溯源排查整改工作。</w:t>
      </w:r>
    </w:p>
    <w:p w14:paraId="1600315F">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2.结合池州市城区排水防涝综合能力提升建设工程完成沿河溢流问题溯源排查，根据排查结果实施整治，已完成上游市政及小区雨污混接管网实施改造。</w:t>
      </w:r>
    </w:p>
    <w:p w14:paraId="3E43FB44">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b w:val="0"/>
          <w:bCs w:val="0"/>
          <w:i w:val="0"/>
          <w:iCs w:val="0"/>
          <w:color w:val="auto"/>
          <w:kern w:val="0"/>
          <w:sz w:val="32"/>
          <w:szCs w:val="32"/>
          <w:highlight w:val="none"/>
          <w:u w:val="none"/>
          <w:lang w:val="en-US" w:eastAsia="zh-CN" w:bidi="ar"/>
        </w:rPr>
      </w:pPr>
      <w:r>
        <w:rPr>
          <w:rFonts w:hint="eastAsia" w:ascii="仿宋_GB2312" w:hAnsi="仿宋_GB2312" w:eastAsia="仿宋_GB2312" w:cs="仿宋_GB2312"/>
          <w:b w:val="0"/>
          <w:bCs w:val="0"/>
          <w:i w:val="0"/>
          <w:iCs w:val="0"/>
          <w:color w:val="auto"/>
          <w:kern w:val="0"/>
          <w:sz w:val="32"/>
          <w:szCs w:val="32"/>
          <w:highlight w:val="none"/>
          <w:u w:val="none"/>
          <w:lang w:val="en-US" w:eastAsia="zh-CN" w:bidi="ar"/>
        </w:rPr>
        <w:t>3.市住房和城乡建设局制定印发《池州市主城区污水直排问题现场核验工作制度》，并严格落实。</w:t>
      </w:r>
    </w:p>
    <w:p w14:paraId="684A9D07">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4.市住房城乡建设局组织开展排口巡查。</w:t>
      </w:r>
    </w:p>
    <w:bookmarkEnd w:id="32"/>
    <w:p w14:paraId="17EDD1B1">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黑体" w:hAnsi="黑体" w:eastAsia="黑体" w:cs="黑体"/>
          <w:color w:val="auto"/>
          <w:kern w:val="0"/>
          <w:sz w:val="32"/>
          <w:szCs w:val="32"/>
          <w:highlight w:val="none"/>
          <w:lang w:val="en-US" w:eastAsia="zh-CN" w:bidi="ar"/>
        </w:rPr>
      </w:pPr>
      <w:bookmarkStart w:id="33" w:name="OLE_LINK13"/>
      <w:bookmarkStart w:id="34" w:name="OLE_LINK20"/>
      <w:r>
        <w:rPr>
          <w:rFonts w:hint="eastAsia" w:ascii="黑体" w:hAnsi="黑体" w:eastAsia="黑体" w:cs="黑体"/>
          <w:color w:val="auto"/>
          <w:kern w:val="0"/>
          <w:sz w:val="32"/>
          <w:szCs w:val="32"/>
          <w:highlight w:val="none"/>
          <w:lang w:val="en-US" w:eastAsia="zh-CN" w:bidi="ar"/>
        </w:rPr>
        <w:t>四十一、部分县城污水收集管网改造短板突出。截至督察组进驻，青阳县仍有约42%的管网缺陷和1.43公里的合流制管网未完成改造修复。2023年度，青阳县污水处理厂进水生化需氧量浓度均值较低。</w:t>
      </w:r>
    </w:p>
    <w:bookmarkEnd w:id="33"/>
    <w:p w14:paraId="239E6C32">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i w:val="0"/>
          <w:iCs w:val="0"/>
          <w:color w:val="auto"/>
          <w:kern w:val="0"/>
          <w:sz w:val="32"/>
          <w:szCs w:val="32"/>
          <w:highlight w:val="none"/>
          <w:u w:val="none"/>
          <w:lang w:val="en-US" w:eastAsia="zh-CN" w:bidi="ar"/>
        </w:rPr>
        <w:t>2027年底。</w:t>
      </w:r>
    </w:p>
    <w:p w14:paraId="49C8543A">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楷体_GB2312" w:hAnsi="楷体_GB2312" w:eastAsia="楷体_GB2312" w:cs="楷体_GB2312"/>
          <w:color w:val="auto"/>
          <w:sz w:val="32"/>
          <w:szCs w:val="32"/>
          <w:highlight w:val="none"/>
          <w:u w:val="none" w:color="auto"/>
          <w:lang w:val="en-US" w:eastAsia="zh-CN"/>
        </w:rPr>
      </w:pPr>
      <w:r>
        <w:rPr>
          <w:rFonts w:hint="eastAsia" w:ascii="楷体_GB2312" w:hAnsi="楷体_GB2312" w:eastAsia="楷体_GB2312" w:cs="楷体_GB2312"/>
          <w:color w:val="auto"/>
          <w:sz w:val="32"/>
          <w:szCs w:val="32"/>
          <w:highlight w:val="none"/>
        </w:rPr>
        <w:t>整改进展：</w:t>
      </w:r>
      <w:r>
        <w:rPr>
          <w:rFonts w:hint="eastAsia" w:ascii="仿宋_GB2312" w:hAnsi="仿宋_GB2312" w:eastAsia="仿宋_GB2312" w:cs="仿宋_GB2312"/>
          <w:color w:val="auto"/>
          <w:kern w:val="2"/>
          <w:sz w:val="32"/>
          <w:szCs w:val="32"/>
          <w:highlight w:val="none"/>
          <w:lang w:val="en-US" w:eastAsia="zh-CN" w:bidi="ar-SA"/>
        </w:rPr>
        <w:t>已完成阶段性目标，继续推进。</w:t>
      </w:r>
    </w:p>
    <w:p w14:paraId="06898EF7">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bookmarkStart w:id="35" w:name="OLE_LINK14"/>
      <w:r>
        <w:rPr>
          <w:rFonts w:hint="eastAsia" w:ascii="仿宋_GB2312" w:hAnsi="仿宋_GB2312" w:eastAsia="仿宋_GB2312" w:cs="仿宋_GB2312"/>
          <w:i w:val="0"/>
          <w:iCs w:val="0"/>
          <w:color w:val="auto"/>
          <w:kern w:val="0"/>
          <w:sz w:val="32"/>
          <w:szCs w:val="32"/>
          <w:highlight w:val="none"/>
          <w:u w:val="none"/>
          <w:lang w:val="en-US" w:eastAsia="zh-CN" w:bidi="ar"/>
        </w:rPr>
        <w:t xml:space="preserve">1.完成长龙山路、财贸巷、陵阳路等1.43公里合流管网改造。 </w:t>
      </w:r>
    </w:p>
    <w:p w14:paraId="12FB5AFD">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 xml:space="preserve">2.委托专业机构，完成青通河、东河沿线河道内共计2.15公里污水主管网排查及非开挖修复。 </w:t>
      </w:r>
    </w:p>
    <w:p w14:paraId="37FAE346">
      <w:pPr>
        <w:keepNext w:val="0"/>
        <w:keepLines w:val="0"/>
        <w:pageBreakBefore w:val="0"/>
        <w:widowControl w:val="0"/>
        <w:kinsoku/>
        <w:wordWrap/>
        <w:overflowPunct w:val="0"/>
        <w:topLinePunct w:val="0"/>
        <w:autoSpaceDE/>
        <w:autoSpaceDN/>
        <w:bidi w:val="0"/>
        <w:adjustRightInd/>
        <w:snapToGrid/>
        <w:spacing w:beforeLines="0" w:afterLines="0"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000000"/>
          <w:kern w:val="0"/>
          <w:sz w:val="32"/>
          <w:szCs w:val="32"/>
          <w:highlight w:val="none"/>
          <w:u w:val="none"/>
          <w:lang w:val="en-US" w:eastAsia="zh-CN" w:bidi="ar"/>
        </w:rPr>
      </w:pPr>
      <w:r>
        <w:rPr>
          <w:rFonts w:hint="eastAsia" w:ascii="仿宋_GB2312" w:hAnsi="仿宋_GB2312" w:eastAsia="仿宋_GB2312" w:cs="仿宋_GB2312"/>
          <w:i w:val="0"/>
          <w:iCs w:val="0"/>
          <w:color w:val="000000"/>
          <w:kern w:val="0"/>
          <w:sz w:val="32"/>
          <w:szCs w:val="32"/>
          <w:highlight w:val="none"/>
          <w:u w:val="none"/>
          <w:lang w:val="en-US" w:eastAsia="zh-CN" w:bidi="ar"/>
        </w:rPr>
        <w:t>3.本着“轻重缓急”的原则，对城区已排查存在缺陷的市政道路管网进行修复改造，目前已完成五星路、富阳路等市政道路约20公里破损管网修复改造。结合地块开发，完成翠峰路（新县医院北侧）、天台路（九子路至望池路段）、锦绣路（望华路至富阳路段）、碧桃路（青山路至锦绣路段）污水管网建设。</w:t>
      </w:r>
    </w:p>
    <w:p w14:paraId="2052D4B3">
      <w:pPr>
        <w:keepNext w:val="0"/>
        <w:keepLines w:val="0"/>
        <w:pageBreakBefore w:val="0"/>
        <w:widowControl w:val="0"/>
        <w:kinsoku/>
        <w:wordWrap/>
        <w:overflowPunct w:val="0"/>
        <w:topLinePunct w:val="0"/>
        <w:autoSpaceDE/>
        <w:autoSpaceDN/>
        <w:bidi w:val="0"/>
        <w:adjustRightInd/>
        <w:snapToGrid/>
        <w:spacing w:beforeLines="0" w:afterLines="0"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000000"/>
          <w:kern w:val="0"/>
          <w:sz w:val="32"/>
          <w:szCs w:val="32"/>
          <w:highlight w:val="none"/>
          <w:u w:val="none"/>
          <w:lang w:val="en-US" w:eastAsia="zh-CN" w:bidi="ar"/>
        </w:rPr>
      </w:pPr>
      <w:r>
        <w:rPr>
          <w:rFonts w:hint="eastAsia" w:ascii="仿宋_GB2312" w:hAnsi="仿宋_GB2312" w:eastAsia="仿宋_GB2312" w:cs="仿宋_GB2312"/>
          <w:i w:val="0"/>
          <w:iCs w:val="0"/>
          <w:color w:val="000000"/>
          <w:kern w:val="0"/>
          <w:sz w:val="32"/>
          <w:szCs w:val="32"/>
          <w:highlight w:val="none"/>
          <w:u w:val="none"/>
          <w:lang w:val="en-US" w:eastAsia="zh-CN" w:bidi="ar"/>
        </w:rPr>
        <w:t>4.完成2024年、2025年老旧小区雨污水管网改造，正在实施老旧小区改造。</w:t>
      </w:r>
    </w:p>
    <w:p w14:paraId="376BBD63">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黑体" w:hAnsi="黑体" w:eastAsia="黑体" w:cs="黑体"/>
          <w:color w:val="auto"/>
          <w:kern w:val="0"/>
          <w:sz w:val="32"/>
          <w:szCs w:val="32"/>
          <w:highlight w:val="none"/>
          <w:lang w:val="en-US" w:eastAsia="zh-CN" w:bidi="ar"/>
        </w:rPr>
      </w:pPr>
      <w:r>
        <w:rPr>
          <w:rFonts w:hint="eastAsia" w:ascii="黑体" w:hAnsi="黑体" w:eastAsia="黑体" w:cs="黑体"/>
          <w:color w:val="auto"/>
          <w:kern w:val="0"/>
          <w:sz w:val="32"/>
          <w:szCs w:val="32"/>
          <w:highlight w:val="none"/>
          <w:lang w:val="en-US" w:eastAsia="zh-CN" w:bidi="ar"/>
        </w:rPr>
        <w:t>四十二、东至县城区仍有17.5公里合流制管网和6.3公里污水管网未完成改造。2022—2024年，东至县污水处理厂进水生化需氧量浓度逐年下降。</w:t>
      </w:r>
      <w:bookmarkEnd w:id="35"/>
    </w:p>
    <w:p w14:paraId="28316DBE">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i w:val="0"/>
          <w:iCs w:val="0"/>
          <w:color w:val="auto"/>
          <w:kern w:val="0"/>
          <w:sz w:val="32"/>
          <w:szCs w:val="32"/>
          <w:highlight w:val="none"/>
          <w:u w:val="none"/>
          <w:lang w:val="en-US" w:eastAsia="zh-CN" w:bidi="ar"/>
        </w:rPr>
        <w:t>2027年底。</w:t>
      </w:r>
    </w:p>
    <w:p w14:paraId="57970442">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楷体_GB2312" w:hAnsi="楷体_GB2312" w:eastAsia="楷体_GB2312" w:cs="楷体_GB2312"/>
          <w:color w:val="auto"/>
          <w:sz w:val="32"/>
          <w:szCs w:val="32"/>
          <w:highlight w:val="none"/>
          <w:u w:val="none" w:color="auto"/>
          <w:lang w:val="en-US" w:eastAsia="zh-CN"/>
        </w:rPr>
      </w:pPr>
      <w:r>
        <w:rPr>
          <w:rFonts w:hint="eastAsia" w:ascii="楷体_GB2312" w:hAnsi="楷体_GB2312" w:eastAsia="楷体_GB2312" w:cs="楷体_GB2312"/>
          <w:color w:val="auto"/>
          <w:sz w:val="32"/>
          <w:szCs w:val="32"/>
          <w:highlight w:val="none"/>
        </w:rPr>
        <w:t>整改进展：</w:t>
      </w:r>
      <w:r>
        <w:rPr>
          <w:rFonts w:hint="eastAsia" w:ascii="仿宋_GB2312" w:hAnsi="仿宋_GB2312" w:eastAsia="仿宋_GB2312" w:cs="仿宋_GB2312"/>
          <w:color w:val="auto"/>
          <w:kern w:val="2"/>
          <w:sz w:val="32"/>
          <w:szCs w:val="32"/>
          <w:highlight w:val="none"/>
          <w:lang w:val="en-US" w:eastAsia="zh-CN" w:bidi="ar-SA"/>
        </w:rPr>
        <w:t>已完成阶段性目标，继续推进。</w:t>
      </w:r>
    </w:p>
    <w:p w14:paraId="606F8524">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1.2024年已完成河西污水主干管、赤头主干管、至德大道等6.3公里污水管网改造；2025年通过东至县城区污水管网完善及整治改造项目，加快推进河西片区及梅城村沟渠等17.5公里合流制管网改造工程建设，截至2025年底已完成雨污分流主支管网建设15公里。</w:t>
      </w:r>
    </w:p>
    <w:p w14:paraId="71A16516">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2.已完成县城区排水管网检测清淤103公里，治理完成污水管网三、四级病害点位共计172个，缺陷管网治理完成率达75%。</w:t>
      </w:r>
    </w:p>
    <w:p w14:paraId="0D2DF097">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3.东至县城污水处理厂“一厂一策”实施方案已报省住建厅备案，按照方案要求积极推动排水管网改造建设，提升智慧化管理水平，为项目谋划提供有效数据支撑。</w:t>
      </w:r>
    </w:p>
    <w:bookmarkEnd w:id="34"/>
    <w:p w14:paraId="3E40A039">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黑体" w:hAnsi="黑体" w:eastAsia="黑体" w:cs="黑体"/>
          <w:color w:val="auto"/>
          <w:kern w:val="0"/>
          <w:sz w:val="32"/>
          <w:szCs w:val="32"/>
          <w:highlight w:val="none"/>
          <w:lang w:val="en-US" w:eastAsia="zh-CN" w:bidi="ar"/>
        </w:rPr>
      </w:pPr>
      <w:r>
        <w:rPr>
          <w:rFonts w:hint="eastAsia" w:ascii="黑体" w:hAnsi="黑体" w:eastAsia="黑体" w:cs="黑体"/>
          <w:color w:val="auto"/>
          <w:kern w:val="0"/>
          <w:sz w:val="32"/>
          <w:szCs w:val="32"/>
          <w:highlight w:val="none"/>
          <w:lang w:val="en-US" w:eastAsia="zh-CN" w:bidi="ar"/>
        </w:rPr>
        <w:t>四十三、船舶修造、港口码头企业污染治理存在薄弱环节。池州市8家</w:t>
      </w:r>
      <w:bookmarkStart w:id="36" w:name="OLE_LINK55"/>
      <w:r>
        <w:rPr>
          <w:rFonts w:hint="eastAsia" w:ascii="黑体" w:hAnsi="黑体" w:eastAsia="黑体" w:cs="黑体"/>
          <w:color w:val="auto"/>
          <w:kern w:val="0"/>
          <w:sz w:val="32"/>
          <w:szCs w:val="32"/>
          <w:highlight w:val="none"/>
          <w:lang w:val="en-US" w:eastAsia="zh-CN" w:bidi="ar"/>
        </w:rPr>
        <w:t>船厂</w:t>
      </w:r>
      <w:bookmarkEnd w:id="36"/>
      <w:r>
        <w:rPr>
          <w:rFonts w:hint="eastAsia" w:ascii="黑体" w:hAnsi="黑体" w:eastAsia="黑体" w:cs="黑体"/>
          <w:color w:val="auto"/>
          <w:kern w:val="0"/>
          <w:sz w:val="32"/>
          <w:szCs w:val="32"/>
          <w:highlight w:val="none"/>
          <w:lang w:val="en-US" w:eastAsia="zh-CN" w:bidi="ar"/>
        </w:rPr>
        <w:t>均未按要求开展修理企业</w:t>
      </w:r>
      <w:bookmarkStart w:id="37" w:name="OLE_LINK56"/>
      <w:r>
        <w:rPr>
          <w:rFonts w:hint="eastAsia" w:ascii="黑体" w:hAnsi="黑体" w:eastAsia="黑体" w:cs="黑体"/>
          <w:color w:val="auto"/>
          <w:kern w:val="0"/>
          <w:sz w:val="32"/>
          <w:szCs w:val="32"/>
          <w:highlight w:val="none"/>
          <w:lang w:val="en-US" w:eastAsia="zh-CN" w:bidi="ar"/>
        </w:rPr>
        <w:t>合格性评价</w:t>
      </w:r>
      <w:bookmarkEnd w:id="37"/>
      <w:r>
        <w:rPr>
          <w:rFonts w:hint="eastAsia" w:ascii="黑体" w:hAnsi="黑体" w:eastAsia="黑体" w:cs="黑体"/>
          <w:color w:val="auto"/>
          <w:kern w:val="0"/>
          <w:sz w:val="32"/>
          <w:szCs w:val="32"/>
          <w:highlight w:val="none"/>
          <w:lang w:val="en-US" w:eastAsia="zh-CN" w:bidi="ar"/>
        </w:rPr>
        <w:t>。</w:t>
      </w:r>
    </w:p>
    <w:p w14:paraId="6C670760">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i w:val="0"/>
          <w:iCs w:val="0"/>
          <w:color w:val="auto"/>
          <w:kern w:val="0"/>
          <w:sz w:val="32"/>
          <w:szCs w:val="32"/>
          <w:highlight w:val="none"/>
          <w:u w:val="none"/>
          <w:lang w:val="en-US" w:eastAsia="zh-CN" w:bidi="ar"/>
        </w:rPr>
        <w:t>2025年底。</w:t>
      </w:r>
    </w:p>
    <w:p w14:paraId="3A69D685">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楷体_GB2312" w:hAnsi="楷体_GB2312" w:eastAsia="楷体_GB2312" w:cs="楷体_GB2312"/>
          <w:color w:val="auto"/>
          <w:sz w:val="32"/>
          <w:szCs w:val="32"/>
          <w:highlight w:val="none"/>
          <w:u w:val="none" w:color="auto"/>
          <w:lang w:val="en-US" w:eastAsia="zh-CN"/>
        </w:rPr>
      </w:pPr>
      <w:r>
        <w:rPr>
          <w:rFonts w:hint="eastAsia" w:ascii="楷体_GB2312" w:hAnsi="楷体_GB2312" w:eastAsia="楷体_GB2312" w:cs="楷体_GB2312"/>
          <w:color w:val="auto"/>
          <w:sz w:val="32"/>
          <w:szCs w:val="32"/>
          <w:highlight w:val="none"/>
        </w:rPr>
        <w:t>整改进展：</w:t>
      </w:r>
      <w:bookmarkStart w:id="38" w:name="OLE_LINK7"/>
      <w:r>
        <w:rPr>
          <w:rFonts w:hint="eastAsia" w:ascii="仿宋_GB2312" w:hAnsi="仿宋_GB2312" w:eastAsia="仿宋_GB2312" w:cs="仿宋_GB2312"/>
          <w:color w:val="auto"/>
          <w:kern w:val="2"/>
          <w:sz w:val="32"/>
          <w:szCs w:val="32"/>
          <w:highlight w:val="none"/>
          <w:lang w:val="en-US" w:eastAsia="zh-CN" w:bidi="ar-SA"/>
        </w:rPr>
        <w:t>已完成整改。</w:t>
      </w:r>
    </w:p>
    <w:bookmarkEnd w:id="38"/>
    <w:p w14:paraId="1815A536">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bookmarkStart w:id="39" w:name="OLE_LINK67"/>
      <w:r>
        <w:rPr>
          <w:rFonts w:hint="eastAsia" w:ascii="仿宋_GB2312" w:hAnsi="仿宋_GB2312" w:eastAsia="仿宋_GB2312" w:cs="仿宋_GB2312"/>
          <w:i w:val="0"/>
          <w:iCs w:val="0"/>
          <w:color w:val="auto"/>
          <w:kern w:val="0"/>
          <w:sz w:val="32"/>
          <w:szCs w:val="32"/>
          <w:highlight w:val="none"/>
          <w:u w:val="none"/>
          <w:lang w:val="en-US" w:eastAsia="zh-CN" w:bidi="ar"/>
        </w:rPr>
        <w:t>1.贵池区鑫飞扬、中海船舶、鑫安船舶、中远船舶、天宇船舶、金朝船舶6家在产企业均已通过船舶修理企业生产条件现场评价；江舟船舶处于停产状态，已督促该企业尽快取得修理资质。</w:t>
      </w:r>
    </w:p>
    <w:p w14:paraId="538EC499">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default"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2.督促指导东至世平船舶修造有限公司按照相关规定完成生产、修理条件合格性评价。</w:t>
      </w:r>
    </w:p>
    <w:bookmarkEnd w:id="39"/>
    <w:p w14:paraId="18993459">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黑体" w:hAnsi="黑体" w:eastAsia="黑体" w:cs="黑体"/>
          <w:color w:val="auto"/>
          <w:kern w:val="0"/>
          <w:sz w:val="32"/>
          <w:szCs w:val="32"/>
          <w:highlight w:val="none"/>
          <w:lang w:val="en-US" w:eastAsia="zh-CN" w:bidi="ar"/>
        </w:rPr>
      </w:pPr>
      <w:r>
        <w:rPr>
          <w:rFonts w:hint="eastAsia" w:ascii="黑体" w:hAnsi="黑体" w:eastAsia="黑体" w:cs="黑体"/>
          <w:color w:val="auto"/>
          <w:kern w:val="0"/>
          <w:sz w:val="32"/>
          <w:szCs w:val="32"/>
          <w:highlight w:val="none"/>
          <w:lang w:val="en-US" w:eastAsia="zh-CN" w:bidi="ar"/>
        </w:rPr>
        <w:t>四十四、督察组随机抽取3家企业发现，修船作业期间场地内尾砂、灰尘清理不及时，喷砂喷漆露天作业期间污染防治不到位。中远船舶修造有限公司、金朝造船有限公司分段车间喷漆废气污染治理设施未使用。</w:t>
      </w:r>
    </w:p>
    <w:p w14:paraId="77EDDDFD">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i w:val="0"/>
          <w:iCs w:val="0"/>
          <w:color w:val="auto"/>
          <w:kern w:val="0"/>
          <w:sz w:val="32"/>
          <w:szCs w:val="32"/>
          <w:highlight w:val="none"/>
          <w:u w:val="none"/>
          <w:lang w:val="en-US" w:eastAsia="zh-CN" w:bidi="ar"/>
        </w:rPr>
        <w:t>2025年6月底。</w:t>
      </w:r>
    </w:p>
    <w:p w14:paraId="46B1AFBA">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楷体_GB2312" w:hAnsi="楷体_GB2312" w:eastAsia="楷体_GB2312" w:cs="楷体_GB2312"/>
          <w:color w:val="auto"/>
          <w:sz w:val="32"/>
          <w:szCs w:val="32"/>
          <w:highlight w:val="none"/>
          <w:u w:val="none" w:color="auto"/>
          <w:lang w:val="en-US" w:eastAsia="zh-CN"/>
        </w:rPr>
      </w:pPr>
      <w:r>
        <w:rPr>
          <w:rFonts w:hint="eastAsia" w:ascii="楷体_GB2312" w:hAnsi="楷体_GB2312" w:eastAsia="楷体_GB2312" w:cs="楷体_GB2312"/>
          <w:color w:val="auto"/>
          <w:sz w:val="32"/>
          <w:szCs w:val="32"/>
          <w:highlight w:val="none"/>
        </w:rPr>
        <w:t>整改进展：</w:t>
      </w:r>
      <w:r>
        <w:rPr>
          <w:rFonts w:hint="eastAsia" w:ascii="仿宋_GB2312" w:hAnsi="仿宋_GB2312" w:eastAsia="仿宋_GB2312" w:cs="仿宋_GB2312"/>
          <w:color w:val="auto"/>
          <w:kern w:val="2"/>
          <w:sz w:val="32"/>
          <w:szCs w:val="32"/>
          <w:highlight w:val="none"/>
          <w:lang w:val="en-US" w:eastAsia="zh-CN" w:bidi="ar-SA"/>
        </w:rPr>
        <w:t>已完成整改。</w:t>
      </w:r>
    </w:p>
    <w:p w14:paraId="49796AEE">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1.已督促中远船舶修造有限公司、金朝造船有限公司对喷漆废气污染治理设施进行维护保养，确保正常运行；修船作业已淘汰使用喷砂除锈工艺，清除场地除锈砂，并加强作业场地日常清扫保洁工作。</w:t>
      </w:r>
    </w:p>
    <w:p w14:paraId="6372E418">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2.已加强作业区的日常监管，严禁在长江水位线下作业。</w:t>
      </w:r>
    </w:p>
    <w:p w14:paraId="575A3ABD">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黑体" w:hAnsi="黑体" w:eastAsia="黑体" w:cs="黑体"/>
          <w:color w:val="auto"/>
          <w:kern w:val="0"/>
          <w:sz w:val="32"/>
          <w:szCs w:val="32"/>
          <w:highlight w:val="none"/>
          <w:lang w:val="en-US" w:eastAsia="zh-CN" w:bidi="ar"/>
        </w:rPr>
      </w:pPr>
      <w:r>
        <w:rPr>
          <w:rFonts w:hint="eastAsia" w:ascii="黑体" w:hAnsi="黑体" w:eastAsia="黑体" w:cs="黑体"/>
          <w:color w:val="auto"/>
          <w:kern w:val="0"/>
          <w:sz w:val="32"/>
          <w:szCs w:val="32"/>
          <w:highlight w:val="none"/>
          <w:lang w:val="en-US" w:eastAsia="zh-CN" w:bidi="ar"/>
        </w:rPr>
        <w:t>四十五、鑫飞扬船舶修造有限公司未经许可占用河道滩地修建下船坡道，填筑石块、石渣约800吨。</w:t>
      </w:r>
    </w:p>
    <w:p w14:paraId="7E778723">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i w:val="0"/>
          <w:iCs w:val="0"/>
          <w:color w:val="auto"/>
          <w:kern w:val="0"/>
          <w:sz w:val="32"/>
          <w:szCs w:val="32"/>
          <w:highlight w:val="none"/>
          <w:u w:val="none"/>
          <w:lang w:val="en-US" w:eastAsia="zh-CN" w:bidi="ar"/>
        </w:rPr>
        <w:t>2025年6月底。</w:t>
      </w:r>
    </w:p>
    <w:p w14:paraId="09363724">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楷体_GB2312" w:hAnsi="楷体_GB2312" w:eastAsia="楷体_GB2312" w:cs="楷体_GB2312"/>
          <w:color w:val="auto"/>
          <w:sz w:val="32"/>
          <w:szCs w:val="32"/>
          <w:highlight w:val="none"/>
          <w:u w:val="none" w:color="auto"/>
          <w:lang w:val="en-US" w:eastAsia="zh-CN"/>
        </w:rPr>
      </w:pPr>
      <w:r>
        <w:rPr>
          <w:rFonts w:hint="eastAsia" w:ascii="楷体_GB2312" w:hAnsi="楷体_GB2312" w:eastAsia="楷体_GB2312" w:cs="楷体_GB2312"/>
          <w:color w:val="auto"/>
          <w:sz w:val="32"/>
          <w:szCs w:val="32"/>
          <w:highlight w:val="none"/>
        </w:rPr>
        <w:t>整改进展：</w:t>
      </w:r>
      <w:r>
        <w:rPr>
          <w:rFonts w:hint="eastAsia" w:ascii="仿宋_GB2312" w:hAnsi="仿宋_GB2312" w:eastAsia="仿宋_GB2312" w:cs="仿宋_GB2312"/>
          <w:color w:val="auto"/>
          <w:kern w:val="2"/>
          <w:sz w:val="32"/>
          <w:szCs w:val="32"/>
          <w:highlight w:val="none"/>
          <w:lang w:val="en-US" w:eastAsia="zh-CN" w:bidi="ar-SA"/>
        </w:rPr>
        <w:t>已完成整改。</w:t>
      </w:r>
    </w:p>
    <w:p w14:paraId="2A9F9FAA">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1.已依法依规对鑫飞扬船舶修造公司未经许可占用河道滩地的行为进行了查处。</w:t>
      </w:r>
    </w:p>
    <w:p w14:paraId="758FC5AA">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2.</w:t>
      </w:r>
      <w:r>
        <w:rPr>
          <w:rFonts w:hint="eastAsia" w:ascii="仿宋_GB2312" w:hAnsi="仿宋_GB2312" w:eastAsia="仿宋_GB2312" w:cs="仿宋_GB2312"/>
          <w:i w:val="0"/>
          <w:iCs w:val="0"/>
          <w:color w:val="000000"/>
          <w:kern w:val="0"/>
          <w:sz w:val="32"/>
          <w:szCs w:val="32"/>
          <w:highlight w:val="none"/>
          <w:u w:val="none"/>
          <w:lang w:val="en-US" w:eastAsia="zh-CN" w:bidi="ar"/>
        </w:rPr>
        <w:t>池州鑫飞扬船舶修造有限公司已清理恢复了河道滩地，并于2024年7月1日取得了《长江水利委员会关于池州鑫飞扬船舶修造有限公司船舶修造项目洪水影响评价的行政许可决定》（长许可决〔2024〕145号）。</w:t>
      </w:r>
    </w:p>
    <w:p w14:paraId="3BF6894F">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黑体" w:hAnsi="黑体" w:eastAsia="黑体" w:cs="黑体"/>
          <w:color w:val="auto"/>
          <w:kern w:val="0"/>
          <w:sz w:val="32"/>
          <w:szCs w:val="32"/>
          <w:highlight w:val="none"/>
          <w:lang w:val="en-US" w:eastAsia="zh-CN" w:bidi="ar"/>
        </w:rPr>
      </w:pPr>
      <w:r>
        <w:rPr>
          <w:rFonts w:hint="eastAsia" w:ascii="黑体" w:hAnsi="黑体" w:eastAsia="黑体" w:cs="黑体"/>
          <w:color w:val="auto"/>
          <w:kern w:val="0"/>
          <w:sz w:val="32"/>
          <w:szCs w:val="32"/>
          <w:highlight w:val="none"/>
          <w:lang w:val="en-US" w:eastAsia="zh-CN" w:bidi="ar"/>
        </w:rPr>
        <w:t>四十六、部分码头初期雨水收集不全。池州港远航控股有限公司8号泊位初期雨水收集不到位，污水渗漏、溢流。铜冠有色池州公司（九华港航分公司）码头1号泊位装船机处初期雨水未收集。</w:t>
      </w:r>
    </w:p>
    <w:p w14:paraId="403A6AA4">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i w:val="0"/>
          <w:iCs w:val="0"/>
          <w:color w:val="auto"/>
          <w:kern w:val="0"/>
          <w:sz w:val="32"/>
          <w:szCs w:val="32"/>
          <w:highlight w:val="none"/>
          <w:u w:val="none"/>
          <w:lang w:val="en-US" w:eastAsia="zh-CN" w:bidi="ar"/>
        </w:rPr>
        <w:t>2025年3月底。</w:t>
      </w:r>
    </w:p>
    <w:p w14:paraId="42D7BA51">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楷体_GB2312" w:hAnsi="楷体_GB2312" w:eastAsia="楷体_GB2312" w:cs="楷体_GB2312"/>
          <w:color w:val="auto"/>
          <w:sz w:val="32"/>
          <w:szCs w:val="32"/>
          <w:highlight w:val="none"/>
          <w:u w:val="none" w:color="auto"/>
          <w:lang w:val="en-US" w:eastAsia="zh-CN"/>
        </w:rPr>
      </w:pPr>
      <w:r>
        <w:rPr>
          <w:rFonts w:hint="eastAsia" w:ascii="楷体_GB2312" w:hAnsi="楷体_GB2312" w:eastAsia="楷体_GB2312" w:cs="楷体_GB2312"/>
          <w:color w:val="auto"/>
          <w:sz w:val="32"/>
          <w:szCs w:val="32"/>
          <w:highlight w:val="none"/>
        </w:rPr>
        <w:t>整改进展：</w:t>
      </w:r>
      <w:r>
        <w:rPr>
          <w:rFonts w:hint="eastAsia" w:ascii="仿宋_GB2312" w:hAnsi="仿宋_GB2312" w:eastAsia="仿宋_GB2312" w:cs="仿宋_GB2312"/>
          <w:color w:val="auto"/>
          <w:kern w:val="2"/>
          <w:sz w:val="32"/>
          <w:szCs w:val="32"/>
          <w:highlight w:val="none"/>
          <w:lang w:val="en-US" w:eastAsia="zh-CN" w:bidi="ar-SA"/>
        </w:rPr>
        <w:t>已完成整改。</w:t>
      </w:r>
    </w:p>
    <w:p w14:paraId="79B7A0CD">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1.远航码头已对8号泊位破损围挡进行修复，铜冠码头已在1号泊位装船机下方建设雨污水收集沟。</w:t>
      </w:r>
    </w:p>
    <w:p w14:paraId="61B3DEB5">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2.开发区联合市交通运输局对辖区内码头开展规范检查，发现问题已及时督促企业整改。</w:t>
      </w:r>
    </w:p>
    <w:p w14:paraId="7C9DD565">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黑体" w:hAnsi="黑体" w:eastAsia="黑体" w:cs="黑体"/>
          <w:color w:val="auto"/>
          <w:kern w:val="0"/>
          <w:sz w:val="32"/>
          <w:szCs w:val="32"/>
          <w:highlight w:val="none"/>
          <w:lang w:val="en-US" w:eastAsia="zh-CN" w:bidi="ar"/>
        </w:rPr>
      </w:pPr>
      <w:r>
        <w:rPr>
          <w:rFonts w:hint="eastAsia" w:ascii="黑体" w:hAnsi="黑体" w:eastAsia="黑体" w:cs="黑体"/>
          <w:color w:val="auto"/>
          <w:kern w:val="0"/>
          <w:sz w:val="32"/>
          <w:szCs w:val="32"/>
          <w:highlight w:val="none"/>
          <w:shd w:val="clear" w:fill="FFFF00"/>
          <w:lang w:val="en-US" w:eastAsia="zh-CN" w:bidi="ar"/>
        </w:rPr>
        <w:t>四十七、</w:t>
      </w:r>
      <w:r>
        <w:rPr>
          <w:rFonts w:hint="eastAsia" w:ascii="黑体" w:hAnsi="黑体" w:eastAsia="黑体" w:cs="黑体"/>
          <w:color w:val="auto"/>
          <w:kern w:val="0"/>
          <w:sz w:val="32"/>
          <w:szCs w:val="32"/>
          <w:highlight w:val="none"/>
          <w:lang w:val="en-US" w:eastAsia="zh-CN" w:bidi="ar"/>
        </w:rPr>
        <w:t>企业环境管理水平不高，导致园区内凤鸣大道干渠水体存在明显异味，督察期间水面漂浮大量油污。</w:t>
      </w:r>
    </w:p>
    <w:p w14:paraId="6A0ACFDF">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i w:val="0"/>
          <w:iCs w:val="0"/>
          <w:color w:val="auto"/>
          <w:kern w:val="0"/>
          <w:sz w:val="32"/>
          <w:szCs w:val="32"/>
          <w:highlight w:val="none"/>
          <w:u w:val="none"/>
          <w:lang w:val="en-US" w:eastAsia="zh-CN" w:bidi="ar"/>
        </w:rPr>
        <w:t>2025年底。</w:t>
      </w:r>
    </w:p>
    <w:p w14:paraId="34DDDA7A">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楷体_GB2312" w:hAnsi="楷体_GB2312" w:eastAsia="楷体_GB2312" w:cs="楷体_GB2312"/>
          <w:color w:val="auto"/>
          <w:sz w:val="32"/>
          <w:szCs w:val="32"/>
          <w:highlight w:val="none"/>
          <w:u w:val="none" w:color="auto"/>
          <w:lang w:val="en-US" w:eastAsia="zh-CN"/>
        </w:rPr>
      </w:pPr>
      <w:r>
        <w:rPr>
          <w:rFonts w:hint="eastAsia" w:ascii="楷体_GB2312" w:hAnsi="楷体_GB2312" w:eastAsia="楷体_GB2312" w:cs="楷体_GB2312"/>
          <w:color w:val="auto"/>
          <w:sz w:val="32"/>
          <w:szCs w:val="32"/>
          <w:highlight w:val="none"/>
        </w:rPr>
        <w:t>整改进展：</w:t>
      </w:r>
      <w:r>
        <w:rPr>
          <w:rFonts w:hint="eastAsia" w:ascii="仿宋_GB2312" w:hAnsi="仿宋_GB2312" w:eastAsia="仿宋_GB2312" w:cs="仿宋_GB2312"/>
          <w:color w:val="auto"/>
          <w:kern w:val="2"/>
          <w:sz w:val="32"/>
          <w:szCs w:val="32"/>
          <w:highlight w:val="none"/>
          <w:lang w:val="en-US" w:eastAsia="zh-CN" w:bidi="ar-SA"/>
        </w:rPr>
        <w:t>已完成整改。</w:t>
      </w:r>
    </w:p>
    <w:p w14:paraId="318B3E86">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1.排查整治园区32家纺织企业废丝、布匹和盘轴等露天堆放情况，发现的问题已按照要求完成整改;对园区范围内85家餐饮店铺废水排放情况进行排查，已按照要求完成问题整改，并制作发放致餐饮商户一封信85份,督促餐饮业主做好废水管理有关责任、义务。</w:t>
      </w:r>
    </w:p>
    <w:p w14:paraId="70BC740A">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2.对凤鸣大道干渠沿线管网存在变形、异物穿入、破裂、渗漏、脱节等53个管网问题，已采用碎管法、CIPP内衬等修复方式完成修复。</w:t>
      </w:r>
    </w:p>
    <w:p w14:paraId="6E48B071">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3.组织对凤鸣大道干渠开展常态化巡查，对发现的5处排口晴天有水出流异常情况进行溯源排查，均已整改完成，并每月对干渠沿线排口开展水质监测,符合《地表水环境质量标准》中水域功能类别相对应的水质标准。</w:t>
      </w:r>
    </w:p>
    <w:p w14:paraId="3113E3B0">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4.安徽省江之南市政管理有限公司常态化开展干渠水面油污垃圾清理保洁工作，</w:t>
      </w:r>
      <w:r>
        <w:rPr>
          <w:rFonts w:hint="eastAsia" w:ascii="仿宋_GB2312" w:hAnsi="仿宋_GB2312" w:eastAsia="仿宋_GB2312" w:cs="仿宋_GB2312"/>
          <w:i w:val="0"/>
          <w:iCs w:val="0"/>
          <w:color w:val="000000"/>
          <w:kern w:val="0"/>
          <w:sz w:val="32"/>
          <w:szCs w:val="32"/>
          <w:highlight w:val="none"/>
          <w:u w:val="none"/>
          <w:lang w:val="en-US" w:eastAsia="zh-CN" w:bidi="ar"/>
        </w:rPr>
        <w:t>切实保障</w:t>
      </w:r>
      <w:r>
        <w:rPr>
          <w:rFonts w:hint="eastAsia" w:ascii="仿宋_GB2312" w:hAnsi="仿宋_GB2312" w:eastAsia="仿宋_GB2312" w:cs="仿宋_GB2312"/>
          <w:i w:val="0"/>
          <w:iCs w:val="0"/>
          <w:color w:val="auto"/>
          <w:kern w:val="0"/>
          <w:sz w:val="32"/>
          <w:szCs w:val="32"/>
          <w:highlight w:val="none"/>
          <w:u w:val="none"/>
          <w:lang w:val="en-US" w:eastAsia="zh-CN" w:bidi="ar"/>
        </w:rPr>
        <w:t>凤鸣大道干渠水清岸净。</w:t>
      </w:r>
    </w:p>
    <w:p w14:paraId="38B9228B">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黑体" w:hAnsi="黑体" w:eastAsia="黑体" w:cs="黑体"/>
          <w:color w:val="auto"/>
          <w:kern w:val="0"/>
          <w:sz w:val="32"/>
          <w:szCs w:val="32"/>
          <w:highlight w:val="none"/>
          <w:lang w:val="en-US" w:eastAsia="zh-CN" w:bidi="ar"/>
        </w:rPr>
      </w:pPr>
      <w:r>
        <w:rPr>
          <w:rFonts w:hint="eastAsia" w:ascii="黑体" w:hAnsi="黑体" w:eastAsia="黑体" w:cs="黑体"/>
          <w:color w:val="auto"/>
          <w:kern w:val="0"/>
          <w:sz w:val="32"/>
          <w:szCs w:val="32"/>
          <w:highlight w:val="none"/>
          <w:lang w:val="en-US" w:eastAsia="zh-CN" w:bidi="ar"/>
        </w:rPr>
        <w:t>四十八、丰林木业有限公司事故应急池内存放大量初期雨水和生产废水。</w:t>
      </w:r>
    </w:p>
    <w:p w14:paraId="6A1904A4">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i w:val="0"/>
          <w:iCs w:val="0"/>
          <w:color w:val="auto"/>
          <w:kern w:val="0"/>
          <w:sz w:val="32"/>
          <w:szCs w:val="32"/>
          <w:highlight w:val="none"/>
          <w:u w:val="none"/>
          <w:lang w:val="en-US" w:eastAsia="zh-CN" w:bidi="ar"/>
        </w:rPr>
        <w:t>立行立改，长期坚持。</w:t>
      </w:r>
    </w:p>
    <w:p w14:paraId="012E0E3D">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楷体_GB2312" w:hAnsi="楷体_GB2312" w:eastAsia="楷体_GB2312" w:cs="楷体_GB2312"/>
          <w:color w:val="auto"/>
          <w:sz w:val="32"/>
          <w:szCs w:val="32"/>
          <w:highlight w:val="none"/>
          <w:u w:val="none" w:color="auto"/>
          <w:lang w:val="en-US" w:eastAsia="zh-CN"/>
        </w:rPr>
      </w:pPr>
      <w:r>
        <w:rPr>
          <w:rFonts w:hint="eastAsia" w:ascii="楷体_GB2312" w:hAnsi="楷体_GB2312" w:eastAsia="楷体_GB2312" w:cs="楷体_GB2312"/>
          <w:color w:val="auto"/>
          <w:sz w:val="32"/>
          <w:szCs w:val="32"/>
          <w:highlight w:val="none"/>
        </w:rPr>
        <w:t>整改进展：</w:t>
      </w:r>
      <w:r>
        <w:rPr>
          <w:rFonts w:hint="eastAsia" w:ascii="仿宋_GB2312" w:hAnsi="仿宋_GB2312" w:eastAsia="仿宋_GB2312" w:cs="仿宋_GB2312"/>
          <w:color w:val="auto"/>
          <w:kern w:val="2"/>
          <w:sz w:val="32"/>
          <w:szCs w:val="32"/>
          <w:highlight w:val="none"/>
          <w:lang w:val="en-US" w:eastAsia="zh-CN" w:bidi="ar-SA"/>
        </w:rPr>
        <w:t>已完成整改。</w:t>
      </w:r>
    </w:p>
    <w:p w14:paraId="155DA620">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1.该企业事故应急池内初期雨水和生产废水已清理完毕并规范处置。</w:t>
      </w:r>
    </w:p>
    <w:p w14:paraId="5CF95FB6">
      <w:pPr>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黑体" w:hAnsi="黑体" w:eastAsia="黑体" w:cs="黑体"/>
          <w:color w:val="auto"/>
          <w:kern w:val="0"/>
          <w:sz w:val="32"/>
          <w:szCs w:val="32"/>
          <w:highlight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2.企业已制定事故应急池管理制度，加强日常监管，确保发现问题及时处理。</w:t>
      </w:r>
    </w:p>
    <w:p w14:paraId="71BEF59D">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黑体" w:hAnsi="黑体" w:eastAsia="黑体" w:cs="黑体"/>
          <w:color w:val="auto"/>
          <w:kern w:val="0"/>
          <w:sz w:val="32"/>
          <w:szCs w:val="32"/>
          <w:highlight w:val="none"/>
          <w:lang w:val="en-US" w:eastAsia="zh-CN" w:bidi="ar"/>
        </w:rPr>
      </w:pPr>
      <w:r>
        <w:rPr>
          <w:rFonts w:hint="eastAsia" w:ascii="黑体" w:hAnsi="黑体" w:eastAsia="黑体" w:cs="黑体"/>
          <w:color w:val="auto"/>
          <w:kern w:val="0"/>
          <w:sz w:val="32"/>
          <w:szCs w:val="32"/>
          <w:highlight w:val="none"/>
          <w:lang w:val="en-US" w:eastAsia="zh-CN" w:bidi="ar"/>
        </w:rPr>
        <w:t>四十九、企业废气直排问题多发。督察组抽查池州市部分园区及企业发现，多家企业废气收集处理不到位。池州市高新区池杭机械制造有限公司3台冲天炉炉顶进料口无废气收集处理设施，进料时炉内废气直排；友进冠华新材料科技股份有限公司冶炼废气和铭科新型建材有限公司车间粉尘均收集处置不到位，直排外环境。</w:t>
      </w:r>
      <w:bookmarkStart w:id="40" w:name="OLE_LINK4"/>
      <w:r>
        <w:rPr>
          <w:rFonts w:hint="eastAsia" w:ascii="黑体" w:hAnsi="黑体" w:eastAsia="黑体" w:cs="黑体"/>
          <w:color w:val="auto"/>
          <w:kern w:val="0"/>
          <w:sz w:val="32"/>
          <w:szCs w:val="32"/>
          <w:highlight w:val="none"/>
          <w:lang w:val="en-US" w:eastAsia="zh-CN" w:bidi="ar"/>
        </w:rPr>
        <w:t>江南产业集中区鹏翔铝业科技有限公司生产车间部分粉尘未收集，焊烟净化器建而不用；江南英明工艺品有限公司废气处理设施未运行，车间粉尘外逸明显；</w:t>
      </w:r>
      <w:bookmarkEnd w:id="40"/>
      <w:r>
        <w:rPr>
          <w:rFonts w:hint="eastAsia" w:ascii="黑体" w:hAnsi="黑体" w:eastAsia="黑体" w:cs="黑体"/>
          <w:color w:val="auto"/>
          <w:kern w:val="0"/>
          <w:sz w:val="32"/>
          <w:szCs w:val="32"/>
          <w:highlight w:val="none"/>
          <w:lang w:val="en-US" w:eastAsia="zh-CN" w:bidi="ar"/>
        </w:rPr>
        <w:t>天平机械股份有限公司7、8号车间污染治理设施不正常运行，部分废气直排外环境。</w:t>
      </w:r>
    </w:p>
    <w:p w14:paraId="4DCEEB54">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i w:val="0"/>
          <w:iCs w:val="0"/>
          <w:color w:val="auto"/>
          <w:kern w:val="0"/>
          <w:sz w:val="32"/>
          <w:szCs w:val="32"/>
          <w:highlight w:val="none"/>
          <w:u w:val="none"/>
          <w:lang w:val="en-US" w:eastAsia="zh-CN" w:bidi="ar"/>
        </w:rPr>
        <w:t>立行立改，长期坚持。</w:t>
      </w:r>
    </w:p>
    <w:p w14:paraId="154E4221">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楷体_GB2312" w:hAnsi="楷体_GB2312" w:eastAsia="楷体_GB2312" w:cs="楷体_GB2312"/>
          <w:color w:val="auto"/>
          <w:sz w:val="32"/>
          <w:szCs w:val="32"/>
          <w:highlight w:val="none"/>
          <w:u w:val="none" w:color="auto"/>
          <w:lang w:val="en-US" w:eastAsia="zh-CN"/>
        </w:rPr>
      </w:pPr>
      <w:r>
        <w:rPr>
          <w:rFonts w:hint="eastAsia" w:ascii="楷体_GB2312" w:hAnsi="楷体_GB2312" w:eastAsia="楷体_GB2312" w:cs="楷体_GB2312"/>
          <w:color w:val="auto"/>
          <w:sz w:val="32"/>
          <w:szCs w:val="32"/>
          <w:highlight w:val="none"/>
        </w:rPr>
        <w:t>整改进展：</w:t>
      </w:r>
      <w:r>
        <w:rPr>
          <w:rFonts w:hint="eastAsia" w:ascii="仿宋_GB2312" w:hAnsi="仿宋_GB2312" w:eastAsia="仿宋_GB2312" w:cs="仿宋_GB2312"/>
          <w:color w:val="auto"/>
          <w:kern w:val="2"/>
          <w:sz w:val="32"/>
          <w:szCs w:val="32"/>
          <w:highlight w:val="none"/>
          <w:lang w:val="en-US" w:eastAsia="zh-CN" w:bidi="ar-SA"/>
        </w:rPr>
        <w:t>已完成整改。</w:t>
      </w:r>
    </w:p>
    <w:p w14:paraId="6CE353A9">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bookmarkStart w:id="41" w:name="OLE_LINK46"/>
      <w:r>
        <w:rPr>
          <w:rFonts w:hint="eastAsia" w:ascii="楷体_GB2312" w:hAnsi="楷体_GB2312" w:eastAsia="楷体_GB2312" w:cs="楷体_GB2312"/>
          <w:color w:val="auto"/>
          <w:sz w:val="32"/>
          <w:szCs w:val="32"/>
          <w:highlight w:val="none"/>
          <w:u w:val="none" w:color="auto"/>
          <w:lang w:val="en-US" w:eastAsia="zh-CN"/>
        </w:rPr>
        <w:t>贵池区：</w:t>
      </w:r>
      <w:r>
        <w:rPr>
          <w:rFonts w:hint="eastAsia" w:ascii="仿宋_GB2312" w:hAnsi="仿宋_GB2312" w:eastAsia="仿宋_GB2312" w:cs="仿宋_GB2312"/>
          <w:i w:val="0"/>
          <w:iCs w:val="0"/>
          <w:color w:val="auto"/>
          <w:kern w:val="0"/>
          <w:sz w:val="32"/>
          <w:szCs w:val="32"/>
          <w:highlight w:val="none"/>
          <w:u w:val="none"/>
          <w:lang w:val="en-US" w:eastAsia="zh-CN" w:bidi="ar"/>
        </w:rPr>
        <w:t>1.已依法依规对3家环境违法行为进行调查处理。</w:t>
      </w:r>
    </w:p>
    <w:p w14:paraId="4141E17C">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2.池杭机械公司已对炉顶进行封闭处理，并将炉顶烟气引至布袋除尘器处理；友进冠华新材料科技股份有限公司风机变频故障已现场消除，并制定巡查制度，确保类似问题不再出现；铭科新型建材有限公司对浇注搅拌除尘器破损塑烧板进行更换,并制定污染治理设施巡查制度。</w:t>
      </w:r>
    </w:p>
    <w:p w14:paraId="7A9CD88D">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3.目前三家公司已全部安装用电监控并纳入涉气污染源用电监管。</w:t>
      </w:r>
    </w:p>
    <w:p w14:paraId="0491AFA1">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default" w:ascii="楷体_GB2312" w:hAnsi="楷体_GB2312" w:eastAsia="楷体_GB2312" w:cs="楷体_GB2312"/>
          <w:color w:val="auto"/>
          <w:sz w:val="32"/>
          <w:szCs w:val="32"/>
          <w:highlight w:val="none"/>
          <w:u w:val="none" w:color="auto"/>
          <w:lang w:val="en-US" w:eastAsia="zh-CN"/>
        </w:rPr>
      </w:pPr>
      <w:r>
        <w:rPr>
          <w:rFonts w:hint="eastAsia" w:ascii="仿宋_GB2312" w:hAnsi="仿宋_GB2312" w:eastAsia="仿宋_GB2312" w:cs="仿宋_GB2312"/>
          <w:i w:val="0"/>
          <w:iCs w:val="0"/>
          <w:color w:val="auto"/>
          <w:kern w:val="0"/>
          <w:sz w:val="32"/>
          <w:szCs w:val="32"/>
          <w:highlight w:val="none"/>
          <w:u w:val="none"/>
          <w:lang w:val="en-US" w:eastAsia="zh-CN" w:bidi="ar"/>
        </w:rPr>
        <w:t>4.已通过重点排污单位自动监控与基础数据库系统、夜查等方式开展涉气企业问题排查整治，督促企业废气处理设施正常运行，废气稳定达标排放</w:t>
      </w:r>
      <w:r>
        <w:rPr>
          <w:rFonts w:hint="eastAsia" w:ascii="宋体" w:hAnsi="宋体" w:eastAsia="宋体" w:cs="宋体"/>
          <w:i w:val="0"/>
          <w:color w:val="auto"/>
          <w:kern w:val="0"/>
          <w:sz w:val="32"/>
          <w:szCs w:val="32"/>
          <w:highlight w:val="none"/>
          <w:u w:val="none"/>
          <w:lang w:val="en-US" w:eastAsia="zh-CN" w:bidi="ar"/>
        </w:rPr>
        <w:t>。</w:t>
      </w:r>
    </w:p>
    <w:p w14:paraId="66BC342A">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楷体_GB2312" w:hAnsi="楷体_GB2312" w:eastAsia="楷体_GB2312" w:cs="楷体_GB2312"/>
          <w:color w:val="auto"/>
          <w:sz w:val="32"/>
          <w:szCs w:val="32"/>
          <w:highlight w:val="none"/>
          <w:u w:val="none" w:color="auto"/>
          <w:lang w:val="en-US" w:eastAsia="zh-CN"/>
        </w:rPr>
        <w:t>青阳县：</w:t>
      </w:r>
      <w:r>
        <w:rPr>
          <w:rFonts w:hint="eastAsia" w:ascii="仿宋_GB2312" w:hAnsi="仿宋_GB2312" w:eastAsia="仿宋_GB2312" w:cs="仿宋_GB2312"/>
          <w:i w:val="0"/>
          <w:iCs w:val="0"/>
          <w:color w:val="auto"/>
          <w:kern w:val="0"/>
          <w:sz w:val="32"/>
          <w:szCs w:val="32"/>
          <w:highlight w:val="none"/>
          <w:u w:val="none"/>
          <w:lang w:val="en-US" w:eastAsia="zh-CN" w:bidi="ar"/>
        </w:rPr>
        <w:t>1.已责令安徽</w:t>
      </w:r>
      <w:r>
        <w:rPr>
          <w:rFonts w:hint="eastAsia" w:ascii="仿宋_GB2312" w:hAnsi="仿宋_GB2312" w:eastAsia="仿宋_GB2312" w:cs="仿宋_GB2312"/>
          <w:color w:val="auto"/>
          <w:kern w:val="0"/>
          <w:sz w:val="32"/>
          <w:szCs w:val="32"/>
          <w:highlight w:val="none"/>
          <w:u w:val="none"/>
          <w:lang w:val="en-US" w:eastAsia="zh-CN" w:bidi="ar"/>
        </w:rPr>
        <w:t>天平机械股份有限公司</w:t>
      </w:r>
      <w:r>
        <w:rPr>
          <w:rFonts w:hint="eastAsia" w:ascii="仿宋_GB2312" w:hAnsi="仿宋_GB2312" w:eastAsia="仿宋_GB2312" w:cs="仿宋_GB2312"/>
          <w:i w:val="0"/>
          <w:iCs w:val="0"/>
          <w:color w:val="auto"/>
          <w:kern w:val="0"/>
          <w:sz w:val="32"/>
          <w:szCs w:val="32"/>
          <w:highlight w:val="none"/>
          <w:u w:val="none"/>
          <w:lang w:val="en-US" w:eastAsia="zh-CN" w:bidi="ar"/>
        </w:rPr>
        <w:t xml:space="preserve">严格按照环评以及批复等要求开展污染防治工作，确保废气污染治理设施正常运行，废气经收集处理后达标排放。 </w:t>
      </w:r>
    </w:p>
    <w:p w14:paraId="3665EB32">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2.安徽天平机械股份有限公司7号车间熔炼工序配备布袋除尘器和活性炭处理装置，浇注工序新增配套布袋除尘器+二级活性炭废气处理装置，8号车间熔炼工序配备布袋除尘器和uv光氧+活性炭一体机，浇注工序新增配套布袋除尘器+二级活性炭废气处理装置，7号8号车间造型和制芯工序共用一套二级活性炭箱装置，污染治理设施已完成维护检修并运行正常。</w:t>
      </w:r>
    </w:p>
    <w:p w14:paraId="37CED981">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 xml:space="preserve"> 3.安徽天平机械股份有限公司已安装污染源用电监管系统，对7#、8#车间熔炼、制芯工序的产污、治污设施的用电情况进行实时监控。 </w:t>
      </w:r>
    </w:p>
    <w:p w14:paraId="6DD9C40E">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default"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4.常态化开展涉气企业突出环境问题排查，重点检查废气处理设施运行、台账记录、污染物达标排放等情况，加强非现场执法监管，利用用电监控平台监管企业治污设施运行状态，对数据异常企业的预警信息即时现场核查，督促企业废气处理设施正常运行，废气稳定达标排放。</w:t>
      </w:r>
    </w:p>
    <w:p w14:paraId="6A28E4A7">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楷体_GB2312" w:hAnsi="楷体_GB2312" w:eastAsia="楷体_GB2312" w:cs="楷体_GB2312"/>
          <w:color w:val="auto"/>
          <w:sz w:val="32"/>
          <w:szCs w:val="32"/>
          <w:highlight w:val="none"/>
          <w:u w:val="none" w:color="auto"/>
          <w:lang w:val="en-US" w:eastAsia="zh-CN"/>
        </w:rPr>
        <w:t>江南新兴产业集中区：</w:t>
      </w:r>
      <w:r>
        <w:rPr>
          <w:rFonts w:hint="eastAsia" w:ascii="仿宋_GB2312" w:hAnsi="仿宋_GB2312" w:eastAsia="仿宋_GB2312" w:cs="仿宋_GB2312"/>
          <w:i w:val="0"/>
          <w:iCs w:val="0"/>
          <w:color w:val="auto"/>
          <w:kern w:val="0"/>
          <w:sz w:val="32"/>
          <w:szCs w:val="32"/>
          <w:highlight w:val="none"/>
          <w:u w:val="none"/>
          <w:lang w:val="en-US" w:eastAsia="zh-CN" w:bidi="ar"/>
        </w:rPr>
        <w:t>1.安徽鹏翔铝业和池州江南英明公司已完成生态环境损害赔偿磋商。</w:t>
      </w:r>
    </w:p>
    <w:p w14:paraId="3BA0C72F">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2.安徽鹏翔铝业公司将炒灰车间破损段烟气管道进行修复，确保粉尘得到有效收集处理；池州江南英明公司制定废气处理设施运行管理制度，要求相关作业人员在设备维修时必须配套使用焊烟净化设施并记录运行情况。</w:t>
      </w:r>
    </w:p>
    <w:p w14:paraId="3E9BD1D3">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default"/>
          <w:color w:val="auto"/>
          <w:sz w:val="32"/>
          <w:szCs w:val="32"/>
          <w:highlight w:val="none"/>
          <w:lang w:val="en-US" w:eastAsia="zh-CN"/>
        </w:rPr>
      </w:pPr>
      <w:r>
        <w:rPr>
          <w:rFonts w:hint="eastAsia" w:ascii="仿宋_GB2312" w:hAnsi="仿宋_GB2312" w:eastAsia="仿宋_GB2312" w:cs="仿宋_GB2312"/>
          <w:i w:val="0"/>
          <w:iCs w:val="0"/>
          <w:color w:val="auto"/>
          <w:kern w:val="0"/>
          <w:sz w:val="32"/>
          <w:szCs w:val="32"/>
          <w:highlight w:val="none"/>
          <w:u w:val="none"/>
          <w:lang w:val="en-US" w:eastAsia="zh-CN" w:bidi="ar"/>
        </w:rPr>
        <w:t>3.目前安徽鹏翔铝业公司、池州江南英明公司已全部安装用电监控并纳入涉气污染源用电监管。</w:t>
      </w:r>
    </w:p>
    <w:bookmarkEnd w:id="41"/>
    <w:p w14:paraId="03DCA24F">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黑体" w:hAnsi="黑体" w:eastAsia="黑体" w:cs="黑体"/>
          <w:color w:val="auto"/>
          <w:kern w:val="0"/>
          <w:sz w:val="32"/>
          <w:szCs w:val="32"/>
          <w:highlight w:val="none"/>
          <w:lang w:val="en-US" w:eastAsia="zh-CN" w:bidi="ar"/>
        </w:rPr>
      </w:pPr>
      <w:bookmarkStart w:id="42" w:name="OLE_LINK34"/>
      <w:r>
        <w:rPr>
          <w:rFonts w:hint="eastAsia" w:ascii="黑体" w:hAnsi="黑体" w:eastAsia="黑体" w:cs="黑体"/>
          <w:color w:val="auto"/>
          <w:kern w:val="0"/>
          <w:sz w:val="32"/>
          <w:szCs w:val="32"/>
          <w:highlight w:val="none"/>
          <w:lang w:val="en-US" w:eastAsia="zh-CN" w:bidi="ar"/>
        </w:rPr>
        <w:t>五十、</w:t>
      </w:r>
      <w:bookmarkStart w:id="43" w:name="OLE_LINK35"/>
      <w:bookmarkStart w:id="44" w:name="OLE_LINK40"/>
      <w:r>
        <w:rPr>
          <w:rFonts w:hint="eastAsia" w:ascii="黑体" w:hAnsi="黑体" w:eastAsia="黑体" w:cs="黑体"/>
          <w:color w:val="auto"/>
          <w:kern w:val="0"/>
          <w:sz w:val="32"/>
          <w:szCs w:val="32"/>
          <w:highlight w:val="none"/>
          <w:lang w:val="en-US" w:eastAsia="zh-CN" w:bidi="ar"/>
        </w:rPr>
        <w:t>锅炉治理改造推进滞</w:t>
      </w:r>
      <w:bookmarkEnd w:id="43"/>
      <w:r>
        <w:rPr>
          <w:rFonts w:hint="eastAsia" w:ascii="黑体" w:hAnsi="黑体" w:eastAsia="黑体" w:cs="黑体"/>
          <w:color w:val="auto"/>
          <w:kern w:val="0"/>
          <w:sz w:val="32"/>
          <w:szCs w:val="32"/>
          <w:highlight w:val="none"/>
          <w:lang w:val="en-US" w:eastAsia="zh-CN" w:bidi="ar"/>
        </w:rPr>
        <w:t>后</w:t>
      </w:r>
      <w:bookmarkEnd w:id="44"/>
      <w:r>
        <w:rPr>
          <w:rFonts w:hint="eastAsia" w:ascii="黑体" w:hAnsi="黑体" w:eastAsia="黑体" w:cs="黑体"/>
          <w:color w:val="auto"/>
          <w:kern w:val="0"/>
          <w:sz w:val="32"/>
          <w:szCs w:val="32"/>
          <w:highlight w:val="none"/>
          <w:lang w:val="en-US" w:eastAsia="zh-CN" w:bidi="ar"/>
        </w:rPr>
        <w:t>。</w:t>
      </w:r>
      <w:bookmarkStart w:id="45" w:name="OLE_LINK41"/>
      <w:r>
        <w:rPr>
          <w:rFonts w:hint="eastAsia" w:ascii="黑体" w:hAnsi="黑体" w:eastAsia="黑体" w:cs="黑体"/>
          <w:color w:val="auto"/>
          <w:kern w:val="0"/>
          <w:sz w:val="32"/>
          <w:szCs w:val="32"/>
          <w:highlight w:val="none"/>
          <w:lang w:val="en-US" w:eastAsia="zh-CN" w:bidi="ar"/>
        </w:rPr>
        <w:t>国务院《打赢蓝天保卫战三年行动计划》要求，“到2020年重点区域基本淘汰每小时</w:t>
      </w:r>
      <w:bookmarkStart w:id="46" w:name="OLE_LINK50"/>
      <w:r>
        <w:rPr>
          <w:rFonts w:hint="eastAsia" w:ascii="黑体" w:hAnsi="黑体" w:eastAsia="黑体" w:cs="黑体"/>
          <w:color w:val="auto"/>
          <w:kern w:val="0"/>
          <w:sz w:val="32"/>
          <w:szCs w:val="32"/>
          <w:highlight w:val="none"/>
          <w:lang w:val="en-US" w:eastAsia="zh-CN" w:bidi="ar"/>
        </w:rPr>
        <w:t>35蒸吨以下燃煤锅炉</w:t>
      </w:r>
      <w:bookmarkEnd w:id="46"/>
      <w:r>
        <w:rPr>
          <w:rFonts w:hint="eastAsia" w:ascii="黑体" w:hAnsi="黑体" w:eastAsia="黑体" w:cs="黑体"/>
          <w:color w:val="auto"/>
          <w:kern w:val="0"/>
          <w:sz w:val="32"/>
          <w:szCs w:val="32"/>
          <w:highlight w:val="none"/>
          <w:lang w:val="en-US" w:eastAsia="zh-CN" w:bidi="ar"/>
        </w:rPr>
        <w:t>，燃气锅炉基本完成低氮改造”。</w:t>
      </w:r>
      <w:bookmarkEnd w:id="45"/>
      <w:r>
        <w:rPr>
          <w:rFonts w:hint="eastAsia" w:ascii="黑体" w:hAnsi="黑体" w:eastAsia="黑体" w:cs="黑体"/>
          <w:color w:val="auto"/>
          <w:kern w:val="0"/>
          <w:sz w:val="32"/>
          <w:szCs w:val="32"/>
          <w:highlight w:val="none"/>
          <w:lang w:val="en-US" w:eastAsia="zh-CN" w:bidi="ar"/>
        </w:rPr>
        <w:t>《长三角地区2019—2020年秋冬季大气污染综合治理攻坚行动方案》要求，生物质锅炉应配套旋风+布袋等高效除尘设施。池州市工作推进滞后，仍有2台燃煤锅炉未淘汰，2台燃气锅炉未完成低氮改造。全市68台在用生物质锅炉中，40余台仍在使用低效除尘设施。</w:t>
      </w:r>
    </w:p>
    <w:p w14:paraId="0D734FA2">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i w:val="0"/>
          <w:iCs w:val="0"/>
          <w:color w:val="auto"/>
          <w:kern w:val="0"/>
          <w:sz w:val="32"/>
          <w:szCs w:val="32"/>
          <w:highlight w:val="none"/>
          <w:u w:val="none"/>
          <w:lang w:val="en-US" w:eastAsia="zh-CN" w:bidi="ar"/>
        </w:rPr>
        <w:t>2025年底。</w:t>
      </w:r>
    </w:p>
    <w:p w14:paraId="71BE3C6A">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kern w:val="2"/>
          <w:sz w:val="32"/>
          <w:szCs w:val="32"/>
          <w:highlight w:val="none"/>
          <w:lang w:val="en-US" w:eastAsia="zh-CN" w:bidi="ar-SA"/>
        </w:rPr>
      </w:pPr>
      <w:r>
        <w:rPr>
          <w:rFonts w:hint="eastAsia" w:ascii="楷体_GB2312" w:hAnsi="楷体_GB2312" w:eastAsia="楷体_GB2312" w:cs="楷体_GB2312"/>
          <w:color w:val="auto"/>
          <w:sz w:val="32"/>
          <w:szCs w:val="32"/>
          <w:highlight w:val="none"/>
        </w:rPr>
        <w:t>整改进展：</w:t>
      </w:r>
      <w:r>
        <w:rPr>
          <w:rFonts w:hint="eastAsia" w:ascii="仿宋_GB2312" w:hAnsi="仿宋_GB2312" w:eastAsia="仿宋_GB2312" w:cs="仿宋_GB2312"/>
          <w:color w:val="auto"/>
          <w:kern w:val="2"/>
          <w:sz w:val="32"/>
          <w:szCs w:val="32"/>
          <w:highlight w:val="none"/>
          <w:lang w:val="en-US" w:eastAsia="zh-CN" w:bidi="ar-SA"/>
        </w:rPr>
        <w:t>已完成整改。</w:t>
      </w:r>
    </w:p>
    <w:p w14:paraId="532DECB9">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bookmarkStart w:id="47" w:name="OLE_LINK76"/>
      <w:r>
        <w:rPr>
          <w:rFonts w:hint="eastAsia" w:ascii="仿宋_GB2312" w:hAnsi="仿宋_GB2312" w:eastAsia="仿宋_GB2312" w:cs="仿宋_GB2312"/>
          <w:i w:val="0"/>
          <w:iCs w:val="0"/>
          <w:color w:val="auto"/>
          <w:kern w:val="0"/>
          <w:sz w:val="32"/>
          <w:szCs w:val="32"/>
          <w:highlight w:val="none"/>
          <w:u w:val="none"/>
          <w:lang w:val="en-US" w:eastAsia="zh-CN" w:bidi="ar"/>
        </w:rPr>
        <w:t>1.青阳县有米家庭农场1台燃煤锅炉已整治；东至县金地植物油1台燃煤锅炉已停用。</w:t>
      </w:r>
    </w:p>
    <w:p w14:paraId="5196144E">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2.江南新兴产业集中区安徽汇宇材料科技有限公司1台燃气锅炉已整治，青阳县阿尔卡迪亚酒店分公司1台燃气锅炉已完成低氮燃烧改造。</w:t>
      </w:r>
    </w:p>
    <w:p w14:paraId="3FACD4A3">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3.36台2蒸吨以下生物质锅炉已整治；32台在用生物质锅炉中，28台配套建设布袋除尘设施，2台配套建设多管+旋风+水膜+静电除尘，2台配套建设高雾化喷淋除尘。</w:t>
      </w:r>
    </w:p>
    <w:bookmarkEnd w:id="42"/>
    <w:bookmarkEnd w:id="47"/>
    <w:p w14:paraId="35F14DF6">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黑体" w:hAnsi="黑体" w:eastAsia="黑体" w:cs="黑体"/>
          <w:color w:val="auto"/>
          <w:kern w:val="0"/>
          <w:sz w:val="32"/>
          <w:szCs w:val="32"/>
          <w:highlight w:val="none"/>
          <w:lang w:val="en-US" w:eastAsia="zh-CN" w:bidi="ar"/>
        </w:rPr>
      </w:pPr>
      <w:r>
        <w:rPr>
          <w:rFonts w:hint="eastAsia" w:ascii="黑体" w:hAnsi="黑体" w:eastAsia="黑体" w:cs="黑体"/>
          <w:color w:val="auto"/>
          <w:kern w:val="0"/>
          <w:sz w:val="32"/>
          <w:szCs w:val="32"/>
          <w:highlight w:val="none"/>
          <w:lang w:val="en-US" w:eastAsia="zh-CN" w:bidi="ar"/>
        </w:rPr>
        <w:t>五十一、青阳县红农农业开发有限公司、青阳县鑫升源农业开发有限公司生物质热风炉甚至未配套建设除尘设备，废气直排外环境。</w:t>
      </w:r>
    </w:p>
    <w:p w14:paraId="05399A7F">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i w:val="0"/>
          <w:iCs w:val="0"/>
          <w:color w:val="auto"/>
          <w:kern w:val="0"/>
          <w:sz w:val="32"/>
          <w:szCs w:val="32"/>
          <w:highlight w:val="none"/>
          <w:u w:val="none"/>
          <w:lang w:val="en-US" w:eastAsia="zh-CN" w:bidi="ar"/>
        </w:rPr>
        <w:t>2025年6月底。</w:t>
      </w:r>
    </w:p>
    <w:p w14:paraId="776AECD9">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kern w:val="2"/>
          <w:sz w:val="32"/>
          <w:szCs w:val="32"/>
          <w:highlight w:val="none"/>
          <w:lang w:val="en-US" w:eastAsia="zh-CN" w:bidi="ar-SA"/>
        </w:rPr>
      </w:pPr>
      <w:r>
        <w:rPr>
          <w:rFonts w:hint="eastAsia" w:ascii="楷体_GB2312" w:hAnsi="楷体_GB2312" w:eastAsia="楷体_GB2312" w:cs="楷体_GB2312"/>
          <w:color w:val="auto"/>
          <w:sz w:val="32"/>
          <w:szCs w:val="32"/>
          <w:highlight w:val="none"/>
        </w:rPr>
        <w:t>整改进展：</w:t>
      </w:r>
      <w:r>
        <w:rPr>
          <w:rFonts w:hint="eastAsia" w:ascii="仿宋_GB2312" w:hAnsi="仿宋_GB2312" w:eastAsia="仿宋_GB2312" w:cs="仿宋_GB2312"/>
          <w:color w:val="auto"/>
          <w:kern w:val="2"/>
          <w:sz w:val="32"/>
          <w:szCs w:val="32"/>
          <w:highlight w:val="none"/>
          <w:lang w:val="en-US" w:eastAsia="zh-CN" w:bidi="ar-SA"/>
        </w:rPr>
        <w:t>已完成整改。</w:t>
      </w:r>
    </w:p>
    <w:p w14:paraId="6AE3CCC1">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 xml:space="preserve">1.青阳县红农农业开发有限公司现已拆除原生物质热风炉，新购安装5LS-100型生物质颗粒热风炉设备，配套安装旋风除尘器；青阳县鑫升源农业开发有限公司现已对机械设备进行升级改造，配套安装布袋除尘器和旋风除尘器。               </w:t>
      </w:r>
    </w:p>
    <w:p w14:paraId="5BF7AF69">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2.两家企业已完善环境管理制度，并做好相关台账记录。</w:t>
      </w:r>
    </w:p>
    <w:p w14:paraId="1C8908E2">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黑体" w:hAnsi="黑体" w:eastAsia="黑体" w:cs="黑体"/>
          <w:color w:val="auto"/>
          <w:kern w:val="0"/>
          <w:sz w:val="32"/>
          <w:szCs w:val="32"/>
          <w:highlight w:val="none"/>
          <w:lang w:val="en-US" w:eastAsia="zh-CN" w:bidi="ar"/>
        </w:rPr>
      </w:pPr>
      <w:r>
        <w:rPr>
          <w:rFonts w:hint="eastAsia" w:ascii="黑体" w:hAnsi="黑体" w:eastAsia="黑体" w:cs="黑体"/>
          <w:color w:val="auto"/>
          <w:kern w:val="0"/>
          <w:sz w:val="32"/>
          <w:szCs w:val="32"/>
          <w:highlight w:val="none"/>
          <w:lang w:val="en-US" w:eastAsia="zh-CN" w:bidi="ar"/>
        </w:rPr>
        <w:t>五十二、</w:t>
      </w:r>
      <w:bookmarkStart w:id="48" w:name="OLE_LINK11"/>
      <w:r>
        <w:rPr>
          <w:rFonts w:hint="eastAsia" w:ascii="黑体" w:hAnsi="黑体" w:eastAsia="黑体" w:cs="黑体"/>
          <w:color w:val="auto"/>
          <w:kern w:val="0"/>
          <w:sz w:val="32"/>
          <w:szCs w:val="32"/>
          <w:highlight w:val="none"/>
          <w:lang w:val="en-US" w:eastAsia="zh-CN" w:bidi="ar"/>
        </w:rPr>
        <w:t>挥发性有机物治理存在短</w:t>
      </w:r>
      <w:bookmarkEnd w:id="48"/>
      <w:r>
        <w:rPr>
          <w:rFonts w:hint="eastAsia" w:ascii="黑体" w:hAnsi="黑体" w:eastAsia="黑体" w:cs="黑体"/>
          <w:color w:val="auto"/>
          <w:kern w:val="0"/>
          <w:sz w:val="32"/>
          <w:szCs w:val="32"/>
          <w:highlight w:val="none"/>
          <w:lang w:val="en-US" w:eastAsia="zh-CN" w:bidi="ar"/>
        </w:rPr>
        <w:t>板。《安徽省低挥发性有机物含量原辅材料替代工作方案》要求，2025年底前基本实现低VOCs含量原辅材料替代。池州市生态环境部门工作推进缓慢。166家源头替代企业仅排查22家，进度不足13%，替代工作才启动。</w:t>
      </w:r>
    </w:p>
    <w:p w14:paraId="6715EE13">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i w:val="0"/>
          <w:iCs w:val="0"/>
          <w:color w:val="auto"/>
          <w:kern w:val="0"/>
          <w:sz w:val="32"/>
          <w:szCs w:val="32"/>
          <w:highlight w:val="none"/>
          <w:u w:val="none"/>
          <w:lang w:val="en-US" w:eastAsia="zh-CN" w:bidi="ar"/>
        </w:rPr>
        <w:t>2025年底。</w:t>
      </w:r>
    </w:p>
    <w:p w14:paraId="051DFA91">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kern w:val="2"/>
          <w:sz w:val="32"/>
          <w:szCs w:val="32"/>
          <w:highlight w:val="none"/>
          <w:lang w:val="en-US" w:eastAsia="zh-CN" w:bidi="ar-SA"/>
        </w:rPr>
      </w:pPr>
      <w:r>
        <w:rPr>
          <w:rFonts w:hint="eastAsia" w:ascii="楷体_GB2312" w:hAnsi="楷体_GB2312" w:eastAsia="楷体_GB2312" w:cs="楷体_GB2312"/>
          <w:color w:val="auto"/>
          <w:sz w:val="32"/>
          <w:szCs w:val="32"/>
          <w:highlight w:val="none"/>
        </w:rPr>
        <w:t>整改进展：</w:t>
      </w:r>
      <w:r>
        <w:rPr>
          <w:rFonts w:hint="eastAsia" w:ascii="仿宋_GB2312" w:hAnsi="仿宋_GB2312" w:eastAsia="仿宋_GB2312" w:cs="仿宋_GB2312"/>
          <w:color w:val="auto"/>
          <w:kern w:val="2"/>
          <w:sz w:val="32"/>
          <w:szCs w:val="32"/>
          <w:highlight w:val="none"/>
          <w:lang w:val="en-US" w:eastAsia="zh-CN" w:bidi="ar-SA"/>
        </w:rPr>
        <w:t>已完成整改。</w:t>
      </w:r>
    </w:p>
    <w:p w14:paraId="3D47AB3C">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val="en-US" w:eastAsia="zh-CN"/>
        </w:rPr>
      </w:pPr>
      <w:bookmarkStart w:id="49" w:name="OLE_LINK75"/>
      <w:r>
        <w:rPr>
          <w:rFonts w:hint="eastAsia" w:ascii="仿宋_GB2312" w:hAnsi="仿宋_GB2312" w:eastAsia="仿宋_GB2312" w:cs="仿宋_GB2312"/>
          <w:color w:val="auto"/>
          <w:sz w:val="32"/>
          <w:szCs w:val="32"/>
          <w:highlight w:val="none"/>
          <w:lang w:val="en-US" w:eastAsia="zh-CN"/>
        </w:rPr>
        <w:t>对照《安徽省低挥发性有机物含量原辅材料替代工作方案》要求，全面开展源头替代企业排查工作，全市共排查企业179家，其中33家企业完成源头替代、91家企业不涉及《安徽省低挥发性有机物含量原辅材料替代工作方案》中内容、38家企业完成了不可替代论证，其余17家企业未生产。</w:t>
      </w:r>
    </w:p>
    <w:bookmarkEnd w:id="49"/>
    <w:p w14:paraId="744E926D">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黑体" w:hAnsi="黑体" w:eastAsia="黑体" w:cs="黑体"/>
          <w:color w:val="auto"/>
          <w:kern w:val="0"/>
          <w:sz w:val="32"/>
          <w:szCs w:val="32"/>
          <w:highlight w:val="none"/>
          <w:lang w:val="en-US" w:eastAsia="zh-CN" w:bidi="ar"/>
        </w:rPr>
      </w:pPr>
      <w:r>
        <w:rPr>
          <w:rFonts w:hint="eastAsia" w:ascii="黑体" w:hAnsi="黑体" w:eastAsia="黑体" w:cs="黑体"/>
          <w:color w:val="auto"/>
          <w:kern w:val="0"/>
          <w:sz w:val="32"/>
          <w:szCs w:val="32"/>
          <w:highlight w:val="none"/>
          <w:lang w:val="en-US" w:eastAsia="zh-CN" w:bidi="ar"/>
        </w:rPr>
        <w:t>五十三、部分</w:t>
      </w:r>
      <w:bookmarkStart w:id="50" w:name="OLE_LINK12"/>
      <w:r>
        <w:rPr>
          <w:rFonts w:hint="eastAsia" w:ascii="黑体" w:hAnsi="黑体" w:eastAsia="黑体" w:cs="黑体"/>
          <w:color w:val="auto"/>
          <w:kern w:val="0"/>
          <w:sz w:val="32"/>
          <w:szCs w:val="32"/>
          <w:highlight w:val="none"/>
          <w:lang w:val="en-US" w:eastAsia="zh-CN" w:bidi="ar"/>
        </w:rPr>
        <w:t>企业VOCs收集处理不到位</w:t>
      </w:r>
      <w:bookmarkEnd w:id="50"/>
      <w:r>
        <w:rPr>
          <w:rFonts w:hint="eastAsia" w:ascii="黑体" w:hAnsi="黑体" w:eastAsia="黑体" w:cs="黑体"/>
          <w:color w:val="auto"/>
          <w:kern w:val="0"/>
          <w:sz w:val="32"/>
          <w:szCs w:val="32"/>
          <w:highlight w:val="none"/>
          <w:lang w:val="en-US" w:eastAsia="zh-CN" w:bidi="ar"/>
        </w:rPr>
        <w:t>。常华光电科技有限公司防爆型溶剂回收机未安装废气治理设施。池州起帆电缆有限公司多台废气收集设施滤网堵塞，VOCs收集管道破损，厂区内异味明显。</w:t>
      </w:r>
    </w:p>
    <w:p w14:paraId="6BACDEE8">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i w:val="0"/>
          <w:iCs w:val="0"/>
          <w:color w:val="auto"/>
          <w:kern w:val="0"/>
          <w:sz w:val="32"/>
          <w:szCs w:val="32"/>
          <w:highlight w:val="none"/>
          <w:u w:val="none"/>
          <w:lang w:val="en-US" w:eastAsia="zh-CN" w:bidi="ar"/>
        </w:rPr>
        <w:t>2025年3月底。</w:t>
      </w:r>
    </w:p>
    <w:p w14:paraId="67112D6C">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kern w:val="2"/>
          <w:sz w:val="32"/>
          <w:szCs w:val="32"/>
          <w:highlight w:val="none"/>
          <w:lang w:val="en-US" w:eastAsia="zh-CN" w:bidi="ar-SA"/>
        </w:rPr>
      </w:pPr>
      <w:r>
        <w:rPr>
          <w:rFonts w:hint="eastAsia" w:ascii="楷体_GB2312" w:hAnsi="楷体_GB2312" w:eastAsia="楷体_GB2312" w:cs="楷体_GB2312"/>
          <w:color w:val="auto"/>
          <w:sz w:val="32"/>
          <w:szCs w:val="32"/>
          <w:highlight w:val="none"/>
        </w:rPr>
        <w:t>整改进展：</w:t>
      </w:r>
      <w:r>
        <w:rPr>
          <w:rFonts w:hint="eastAsia" w:ascii="仿宋_GB2312" w:hAnsi="仿宋_GB2312" w:eastAsia="仿宋_GB2312" w:cs="仿宋_GB2312"/>
          <w:color w:val="auto"/>
          <w:kern w:val="2"/>
          <w:sz w:val="32"/>
          <w:szCs w:val="32"/>
          <w:highlight w:val="none"/>
          <w:lang w:val="en-US" w:eastAsia="zh-CN" w:bidi="ar-SA"/>
        </w:rPr>
        <w:t>已完成整改。</w:t>
      </w:r>
    </w:p>
    <w:p w14:paraId="4AF4C0C3">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1.常华光电科技有限公司已拆除防爆型溶剂回收机，不再进行溶剂回收作业，并加强环保管理工作，定期排查环保问题，对发现问题落实专人及时整改。</w:t>
      </w:r>
    </w:p>
    <w:p w14:paraId="6CAAA4F6">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default"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2.池州起帆电缆有限公司已加强设备维护维修，及时对废弃收集设施堵塞的滤网进行了清理，并完成VOCs破损管道的维修，污染防治设施已稳定有效运行；全面开展自查，对发现的6个问题制定了整改方案、建立了问题巡查台账，并整改到位。</w:t>
      </w:r>
    </w:p>
    <w:p w14:paraId="421D4B7B">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黑体" w:hAnsi="黑体" w:eastAsia="黑体" w:cs="黑体"/>
          <w:color w:val="auto"/>
          <w:kern w:val="0"/>
          <w:sz w:val="32"/>
          <w:szCs w:val="32"/>
          <w:highlight w:val="none"/>
          <w:lang w:val="en-US" w:eastAsia="zh-CN" w:bidi="ar"/>
        </w:rPr>
      </w:pPr>
      <w:r>
        <w:rPr>
          <w:rFonts w:hint="eastAsia" w:ascii="黑体" w:hAnsi="黑体" w:eastAsia="黑体" w:cs="黑体"/>
          <w:color w:val="auto"/>
          <w:kern w:val="0"/>
          <w:sz w:val="32"/>
          <w:szCs w:val="32"/>
          <w:highlight w:val="none"/>
          <w:lang w:val="en-US" w:eastAsia="zh-CN" w:bidi="ar"/>
        </w:rPr>
        <w:t>五十四、柴油货车污染治理攻坚战推进不力。加油站油气回收运行不正常。督察组抽查7家加油站，气液比全部超标；6家油气回收系统密闭性不合格，不合格率86%。贵池区墩上供销合作社黄屯加油站95＃卸油口帽盖密封圈老化，部分加油枪集气罩破损。青阳县青铜加油站92＃汽油储罐非卸油状态，卸油接口未关闭。</w:t>
      </w:r>
    </w:p>
    <w:p w14:paraId="42E030E7">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i w:val="0"/>
          <w:iCs w:val="0"/>
          <w:color w:val="auto"/>
          <w:kern w:val="0"/>
          <w:sz w:val="32"/>
          <w:szCs w:val="32"/>
          <w:highlight w:val="none"/>
          <w:u w:val="none"/>
          <w:lang w:val="en-US" w:eastAsia="zh-CN" w:bidi="ar"/>
        </w:rPr>
        <w:t>立行立改，长期坚持。</w:t>
      </w:r>
    </w:p>
    <w:p w14:paraId="62217C73">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楷体_GB2312" w:hAnsi="楷体_GB2312" w:eastAsia="楷体_GB2312" w:cs="楷体_GB2312"/>
          <w:color w:val="auto"/>
          <w:sz w:val="32"/>
          <w:szCs w:val="32"/>
          <w:highlight w:val="none"/>
          <w:u w:val="none" w:color="auto"/>
          <w:lang w:val="en-US" w:eastAsia="zh-CN"/>
        </w:rPr>
      </w:pPr>
      <w:r>
        <w:rPr>
          <w:rFonts w:hint="eastAsia" w:ascii="楷体_GB2312" w:hAnsi="楷体_GB2312" w:eastAsia="楷体_GB2312" w:cs="楷体_GB2312"/>
          <w:color w:val="auto"/>
          <w:sz w:val="32"/>
          <w:szCs w:val="32"/>
          <w:highlight w:val="none"/>
        </w:rPr>
        <w:t>整改进展：</w:t>
      </w:r>
      <w:r>
        <w:rPr>
          <w:rFonts w:hint="eastAsia" w:ascii="仿宋_GB2312" w:hAnsi="仿宋_GB2312" w:eastAsia="仿宋_GB2312" w:cs="仿宋_GB2312"/>
          <w:color w:val="auto"/>
          <w:kern w:val="2"/>
          <w:sz w:val="32"/>
          <w:szCs w:val="32"/>
          <w:highlight w:val="none"/>
          <w:lang w:val="en-US" w:eastAsia="zh-CN" w:bidi="ar-SA"/>
        </w:rPr>
        <w:t>已完成整改。</w:t>
      </w:r>
    </w:p>
    <w:p w14:paraId="7B36BB61">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1.制定《全市加油站油气污染排查整治专项行动方案》，围绕密闭性、液阻、气液比是否达标等开展排查整治，共排查发现问题30个，均已完成整改。</w:t>
      </w:r>
    </w:p>
    <w:p w14:paraId="36225975">
      <w:pPr>
        <w:pStyle w:val="9"/>
        <w:keepNext w:val="0"/>
        <w:keepLines w:val="0"/>
        <w:pageBreakBefore w:val="0"/>
        <w:widowControl w:val="0"/>
        <w:kinsoku/>
        <w:wordWrap/>
        <w:overflowPunct w:val="0"/>
        <w:topLinePunct w:val="0"/>
        <w:autoSpaceDE/>
        <w:autoSpaceDN/>
        <w:bidi w:val="0"/>
        <w:adjustRightInd/>
        <w:snapToGrid/>
        <w:spacing w:before="0" w:beforeAutospacing="0" w:after="0" w:afterAutospacing="0" w:line="580" w:lineRule="exact"/>
        <w:ind w:left="0" w:lef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2.对全市加油站油气污染开展联合抽查，实地抽查11家加油站，发现的问题已完成整改。</w:t>
      </w:r>
    </w:p>
    <w:p w14:paraId="2BB0070A">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color w:val="auto"/>
          <w:kern w:val="2"/>
          <w:sz w:val="32"/>
          <w:szCs w:val="32"/>
          <w:highlight w:val="none"/>
          <w:lang w:val="en-US" w:eastAsia="zh-CN" w:bidi="ar-SA"/>
        </w:rPr>
        <w:t>3.督察组抽查7家加油站发现的气液比超标、回收系统密闭性不合格等问题已全部完成整改</w:t>
      </w:r>
      <w:r>
        <w:rPr>
          <w:rFonts w:hint="eastAsia" w:ascii="仿宋_GB2312" w:hAnsi="仿宋_GB2312" w:eastAsia="仿宋_GB2312" w:cs="仿宋_GB2312"/>
          <w:i w:val="0"/>
          <w:iCs w:val="0"/>
          <w:color w:val="auto"/>
          <w:kern w:val="0"/>
          <w:sz w:val="32"/>
          <w:szCs w:val="32"/>
          <w:highlight w:val="none"/>
          <w:u w:val="none"/>
          <w:lang w:val="en-US" w:eastAsia="zh-CN" w:bidi="ar"/>
        </w:rPr>
        <w:t>。</w:t>
      </w:r>
    </w:p>
    <w:p w14:paraId="436167FA">
      <w:pPr>
        <w:pStyle w:val="9"/>
        <w:keepNext w:val="0"/>
        <w:keepLines w:val="0"/>
        <w:pageBreakBefore w:val="0"/>
        <w:widowControl w:val="0"/>
        <w:kinsoku/>
        <w:wordWrap/>
        <w:overflowPunct w:val="0"/>
        <w:topLinePunct w:val="0"/>
        <w:autoSpaceDE/>
        <w:autoSpaceDN/>
        <w:bidi w:val="0"/>
        <w:adjustRightInd/>
        <w:snapToGrid/>
        <w:spacing w:before="0" w:beforeAutospacing="0" w:after="0" w:afterAutospacing="0" w:line="580" w:lineRule="exact"/>
        <w:ind w:left="0" w:lef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color w:val="auto"/>
          <w:kern w:val="2"/>
          <w:sz w:val="32"/>
          <w:szCs w:val="32"/>
          <w:highlight w:val="none"/>
          <w:lang w:val="en-US" w:eastAsia="zh-CN" w:bidi="ar-SA"/>
        </w:rPr>
        <w:t>4.推动全市8个汽油年销售量超过5000吨的加油站完成了油气回收在线监控系统安装并联网，同时将成品油经营纳入年度池州市市场监管领域“一业一查”部门联合抽查工作计划。</w:t>
      </w:r>
    </w:p>
    <w:p w14:paraId="1BB47994">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黑体" w:hAnsi="黑体" w:eastAsia="黑体" w:cs="黑体"/>
          <w:color w:val="auto"/>
          <w:kern w:val="0"/>
          <w:sz w:val="32"/>
          <w:szCs w:val="32"/>
          <w:highlight w:val="none"/>
          <w:lang w:val="en-US" w:eastAsia="zh-CN" w:bidi="ar"/>
        </w:rPr>
      </w:pPr>
      <w:bookmarkStart w:id="51" w:name="OLE_LINK31"/>
      <w:bookmarkStart w:id="52" w:name="OLE_LINK33"/>
      <w:r>
        <w:rPr>
          <w:rFonts w:hint="eastAsia" w:ascii="黑体" w:hAnsi="黑体" w:eastAsia="黑体" w:cs="黑体"/>
          <w:color w:val="auto"/>
          <w:kern w:val="0"/>
          <w:sz w:val="32"/>
          <w:szCs w:val="32"/>
          <w:highlight w:val="none"/>
          <w:lang w:val="en-US" w:eastAsia="zh-CN" w:bidi="ar"/>
        </w:rPr>
        <w:t>五十五、非道路移动机械和柴油货车排放监管缺失。池州市累计编码6942台非道路移动机械，目前开展监测516台，不合格96台，占比高达18.6%，但池州市仅对1台非道路移动机械尾气超标问题予以处罚。</w:t>
      </w:r>
    </w:p>
    <w:bookmarkEnd w:id="51"/>
    <w:p w14:paraId="509604EC">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i w:val="0"/>
          <w:iCs w:val="0"/>
          <w:color w:val="auto"/>
          <w:kern w:val="0"/>
          <w:sz w:val="32"/>
          <w:szCs w:val="32"/>
          <w:highlight w:val="none"/>
          <w:u w:val="none"/>
          <w:lang w:val="en-US" w:eastAsia="zh-CN" w:bidi="ar"/>
        </w:rPr>
        <w:t>2025年底取得阶段性成效，并长期坚持。</w:t>
      </w:r>
    </w:p>
    <w:p w14:paraId="298AE992">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楷体_GB2312" w:hAnsi="楷体_GB2312" w:eastAsia="楷体_GB2312" w:cs="楷体_GB2312"/>
          <w:color w:val="auto"/>
          <w:sz w:val="32"/>
          <w:szCs w:val="32"/>
          <w:highlight w:val="none"/>
          <w:u w:val="none" w:color="auto"/>
          <w:lang w:val="en-US" w:eastAsia="zh-CN"/>
        </w:rPr>
      </w:pPr>
      <w:r>
        <w:rPr>
          <w:rFonts w:hint="eastAsia" w:ascii="楷体_GB2312" w:hAnsi="楷体_GB2312" w:eastAsia="楷体_GB2312" w:cs="楷体_GB2312"/>
          <w:color w:val="auto"/>
          <w:sz w:val="32"/>
          <w:szCs w:val="32"/>
          <w:highlight w:val="none"/>
        </w:rPr>
        <w:t>整改进展：</w:t>
      </w:r>
      <w:r>
        <w:rPr>
          <w:rFonts w:hint="eastAsia" w:ascii="仿宋_GB2312" w:hAnsi="仿宋_GB2312" w:eastAsia="仿宋_GB2312" w:cs="仿宋_GB2312"/>
          <w:color w:val="auto"/>
          <w:kern w:val="2"/>
          <w:sz w:val="32"/>
          <w:szCs w:val="32"/>
          <w:highlight w:val="none"/>
          <w:lang w:val="en-US" w:eastAsia="zh-CN" w:bidi="ar-SA"/>
        </w:rPr>
        <w:t>已完成整改。</w:t>
      </w:r>
    </w:p>
    <w:p w14:paraId="233EDC8C">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val="en-US" w:eastAsia="zh-CN"/>
        </w:rPr>
      </w:pPr>
      <w:bookmarkStart w:id="53" w:name="OLE_LINK72"/>
      <w:r>
        <w:rPr>
          <w:rFonts w:hint="eastAsia" w:ascii="仿宋_GB2312" w:hAnsi="仿宋_GB2312" w:eastAsia="仿宋_GB2312" w:cs="仿宋_GB2312"/>
          <w:color w:val="auto"/>
          <w:sz w:val="32"/>
          <w:szCs w:val="32"/>
          <w:highlight w:val="none"/>
          <w:lang w:val="en-US" w:eastAsia="zh-CN"/>
        </w:rPr>
        <w:t>1.加强非道路移动机械尾气监管，定期组织开展非道路移动机械尾气抽测，2024年-2025年，各县区共抽测非道路移动机械954台（贵池区250台、东至县209台、石台县102台、青阳县393台）。</w:t>
      </w:r>
    </w:p>
    <w:p w14:paraId="09400E85">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2.加强超标非道路移动机械监管，对3台尾气超标非道机械进行查处。</w:t>
      </w:r>
    </w:p>
    <w:bookmarkEnd w:id="53"/>
    <w:p w14:paraId="7AD34D89">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黑体" w:hAnsi="黑体" w:eastAsia="黑体" w:cs="黑体"/>
          <w:color w:val="auto"/>
          <w:kern w:val="0"/>
          <w:sz w:val="32"/>
          <w:szCs w:val="32"/>
          <w:highlight w:val="none"/>
          <w:lang w:val="en-US" w:eastAsia="zh-CN" w:bidi="ar"/>
        </w:rPr>
      </w:pPr>
      <w:r>
        <w:rPr>
          <w:rFonts w:hint="eastAsia" w:ascii="黑体" w:hAnsi="黑体" w:eastAsia="黑体" w:cs="黑体"/>
          <w:color w:val="auto"/>
          <w:kern w:val="0"/>
          <w:sz w:val="32"/>
          <w:szCs w:val="32"/>
          <w:highlight w:val="none"/>
          <w:lang w:val="en-US" w:eastAsia="zh-CN" w:bidi="ar"/>
        </w:rPr>
        <w:t>五十六、柴油货车尾气超标问题突出。督察组联合池州市相关部门在贵池区S225省道开展柴油车路检路查执法检查，14辆柴油车中有3辆尾气排放超标，占比高达21.4%。</w:t>
      </w:r>
    </w:p>
    <w:p w14:paraId="75ADF871">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i w:val="0"/>
          <w:iCs w:val="0"/>
          <w:color w:val="auto"/>
          <w:kern w:val="0"/>
          <w:sz w:val="32"/>
          <w:szCs w:val="32"/>
          <w:highlight w:val="none"/>
          <w:u w:val="none"/>
          <w:lang w:val="en-US" w:eastAsia="zh-CN" w:bidi="ar"/>
        </w:rPr>
        <w:t>2025年底取得阶段性成效，并长期坚持。</w:t>
      </w:r>
    </w:p>
    <w:p w14:paraId="5931CA55">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楷体_GB2312" w:hAnsi="楷体_GB2312" w:eastAsia="楷体_GB2312" w:cs="楷体_GB2312"/>
          <w:color w:val="auto"/>
          <w:sz w:val="32"/>
          <w:szCs w:val="32"/>
          <w:highlight w:val="none"/>
          <w:u w:val="none" w:color="auto"/>
          <w:lang w:val="en-US" w:eastAsia="zh-CN"/>
        </w:rPr>
      </w:pPr>
      <w:r>
        <w:rPr>
          <w:rFonts w:hint="eastAsia" w:ascii="楷体_GB2312" w:hAnsi="楷体_GB2312" w:eastAsia="楷体_GB2312" w:cs="楷体_GB2312"/>
          <w:color w:val="auto"/>
          <w:sz w:val="32"/>
          <w:szCs w:val="32"/>
          <w:highlight w:val="none"/>
        </w:rPr>
        <w:t>整改进展：</w:t>
      </w:r>
      <w:r>
        <w:rPr>
          <w:rFonts w:hint="eastAsia" w:ascii="仿宋_GB2312" w:hAnsi="仿宋_GB2312" w:eastAsia="仿宋_GB2312" w:cs="仿宋_GB2312"/>
          <w:color w:val="auto"/>
          <w:kern w:val="2"/>
          <w:sz w:val="32"/>
          <w:szCs w:val="32"/>
          <w:highlight w:val="none"/>
          <w:lang w:val="en-US" w:eastAsia="zh-CN" w:bidi="ar-SA"/>
        </w:rPr>
        <w:t>已完成整改。</w:t>
      </w:r>
    </w:p>
    <w:p w14:paraId="55B33432">
      <w:pPr>
        <w:widowControl w:val="0"/>
        <w:numPr>
          <w:ilvl w:val="0"/>
          <w:numId w:val="0"/>
        </w:numPr>
        <w:ind w:firstLine="640" w:firstLineChars="200"/>
        <w:jc w:val="both"/>
        <w:rPr>
          <w:rFonts w:hint="eastAsia" w:ascii="仿宋_GB2312" w:hAnsi="仿宋_GB2312" w:eastAsia="仿宋_GB2312" w:cs="仿宋_GB2312"/>
          <w:color w:val="auto"/>
          <w:sz w:val="32"/>
          <w:szCs w:val="32"/>
          <w:highlight w:val="none"/>
          <w:lang w:val="en-US" w:eastAsia="zh-CN"/>
        </w:rPr>
      </w:pPr>
      <w:bookmarkStart w:id="54" w:name="OLE_LINK47"/>
      <w:bookmarkStart w:id="55" w:name="OLE_LINK77"/>
      <w:r>
        <w:rPr>
          <w:rFonts w:hint="eastAsia" w:ascii="仿宋_GB2312" w:hAnsi="仿宋_GB2312" w:eastAsia="仿宋_GB2312" w:cs="仿宋_GB2312"/>
          <w:color w:val="auto"/>
          <w:sz w:val="32"/>
          <w:szCs w:val="32"/>
          <w:highlight w:val="none"/>
          <w:lang w:val="en-US" w:eastAsia="zh-CN"/>
        </w:rPr>
        <w:t>1.市、县公安交管部门会同生态环境部门多次开展联合执法，加强对中重型货车、黄标车等高排放车辆的现场查处、劝返、纠正等工作,切实形成部门合力,加强执法震慑。</w:t>
      </w:r>
    </w:p>
    <w:p w14:paraId="678DD7A1">
      <w:pPr>
        <w:widowControl w:val="0"/>
        <w:numPr>
          <w:ilvl w:val="0"/>
          <w:numId w:val="0"/>
        </w:numPr>
        <w:ind w:firstLine="640" w:firstLineChars="200"/>
        <w:jc w:val="both"/>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2.2025年以来，全市路查路检抽测柴油货车1075台，发现超标32台，</w:t>
      </w:r>
      <w:bookmarkEnd w:id="54"/>
      <w:r>
        <w:rPr>
          <w:rFonts w:hint="eastAsia" w:ascii="仿宋_GB2312" w:hAnsi="仿宋_GB2312" w:eastAsia="仿宋_GB2312" w:cs="仿宋_GB2312"/>
          <w:color w:val="auto"/>
          <w:sz w:val="32"/>
          <w:szCs w:val="32"/>
          <w:highlight w:val="none"/>
          <w:lang w:val="en-US" w:eastAsia="zh-CN"/>
        </w:rPr>
        <w:t>其中登记在池州区境内18辆，14辆采取对车辆发动机进行保养、更换相关部件等措施进行整改并完成，另外4辆中，3辆已报废注销，1辆已停止使用；过境车辆14辆，现场已进行普法教育，并告知及时整改。</w:t>
      </w:r>
    </w:p>
    <w:bookmarkEnd w:id="52"/>
    <w:bookmarkEnd w:id="55"/>
    <w:p w14:paraId="7AC61289">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黑体" w:hAnsi="黑体" w:eastAsia="黑体" w:cs="黑体"/>
          <w:color w:val="auto"/>
          <w:kern w:val="0"/>
          <w:sz w:val="32"/>
          <w:szCs w:val="32"/>
          <w:highlight w:val="none"/>
          <w:lang w:val="en-US" w:eastAsia="zh-CN" w:bidi="ar"/>
        </w:rPr>
      </w:pPr>
      <w:r>
        <w:rPr>
          <w:rFonts w:hint="eastAsia" w:ascii="黑体" w:hAnsi="黑体" w:eastAsia="黑体" w:cs="黑体"/>
          <w:color w:val="auto"/>
          <w:kern w:val="0"/>
          <w:sz w:val="32"/>
          <w:szCs w:val="32"/>
          <w:highlight w:val="none"/>
          <w:lang w:val="en-US" w:eastAsia="zh-CN" w:bidi="ar"/>
        </w:rPr>
        <w:t>五十七、全市共有16家机动车环检机构，2023年以来，池州市生态环境部门开展了三轮次机动车环检机构违法违规行为专项检查，仅对2家环检机构查处。督察组抽查5家机动车环检机构，发现存在未按要求对尾气分析仪进行物理性隔离等问题。东至县大渡口镇启恒机动车检测站在车辆第一次检测未通过后，违规开展二次检测，并利用风扇吹风干扰尾气排放。池州市恒安机动车检测有限公司等检测机构通过松油门、踩刹车等方式降低车速，减少污染物排放。石台县护航机动车安全技术检测有限公司等3家企业违规给予车辆检测通过。</w:t>
      </w:r>
    </w:p>
    <w:p w14:paraId="7B8126AB">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bookmarkStart w:id="56" w:name="OLE_LINK16"/>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i w:val="0"/>
          <w:iCs w:val="0"/>
          <w:color w:val="auto"/>
          <w:kern w:val="0"/>
          <w:sz w:val="32"/>
          <w:szCs w:val="32"/>
          <w:highlight w:val="none"/>
          <w:u w:val="none"/>
          <w:lang w:val="en-US" w:eastAsia="zh-CN" w:bidi="ar"/>
        </w:rPr>
        <w:t>2025年6月底。</w:t>
      </w:r>
    </w:p>
    <w:p w14:paraId="6999B79E">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楷体_GB2312" w:hAnsi="楷体_GB2312" w:eastAsia="楷体_GB2312" w:cs="楷体_GB2312"/>
          <w:color w:val="auto"/>
          <w:sz w:val="32"/>
          <w:szCs w:val="32"/>
          <w:highlight w:val="none"/>
          <w:u w:val="none" w:color="auto"/>
          <w:lang w:val="en-US" w:eastAsia="zh-CN"/>
        </w:rPr>
      </w:pPr>
      <w:r>
        <w:rPr>
          <w:rFonts w:hint="eastAsia" w:ascii="楷体_GB2312" w:hAnsi="楷体_GB2312" w:eastAsia="楷体_GB2312" w:cs="楷体_GB2312"/>
          <w:color w:val="auto"/>
          <w:sz w:val="32"/>
          <w:szCs w:val="32"/>
          <w:highlight w:val="none"/>
        </w:rPr>
        <w:t>整改进展：</w:t>
      </w:r>
      <w:r>
        <w:rPr>
          <w:rFonts w:hint="eastAsia" w:ascii="仿宋_GB2312" w:hAnsi="仿宋_GB2312" w:eastAsia="仿宋_GB2312" w:cs="仿宋_GB2312"/>
          <w:color w:val="auto"/>
          <w:kern w:val="2"/>
          <w:sz w:val="32"/>
          <w:szCs w:val="32"/>
          <w:highlight w:val="none"/>
          <w:lang w:val="en-US" w:eastAsia="zh-CN" w:bidi="ar-SA"/>
        </w:rPr>
        <w:t>已完成整改。</w:t>
      </w:r>
    </w:p>
    <w:bookmarkEnd w:id="56"/>
    <w:p w14:paraId="20F9837C">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 xml:space="preserve">1.针对省督察反馈问题，结合2024年机动车检验机构“一业一查”部门联合“双随机、一公开”抽查工作、市机动车排放检验领域第三方机构专项整治工作，对全市机动车检验机构开展两轮检查，对8家存在违法行为的机动车检验机构予以行政处罚。 </w:t>
      </w:r>
    </w:p>
    <w:p w14:paraId="7BE2BAC4">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2.印发了《2025年池州市机动车检验机构“一业一查”部门联合“双随机、一公开”抽查工作方案》(池环函〔2025〕82号)，加强机动车环检机构监管。</w:t>
      </w:r>
    </w:p>
    <w:p w14:paraId="0683BA33">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3.开展机动车环检机构监管培训，加强环检机构监管，召开全市机动车排放检验机构政企座谈会，推进环检机构行业健康发展。</w:t>
      </w:r>
    </w:p>
    <w:p w14:paraId="481B2357">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黑体" w:hAnsi="黑体" w:eastAsia="黑体" w:cs="黑体"/>
          <w:color w:val="auto"/>
          <w:kern w:val="0"/>
          <w:sz w:val="32"/>
          <w:szCs w:val="32"/>
          <w:highlight w:val="none"/>
          <w:lang w:val="en-US" w:eastAsia="zh-CN" w:bidi="ar"/>
        </w:rPr>
      </w:pPr>
      <w:r>
        <w:rPr>
          <w:rFonts w:hint="eastAsia" w:ascii="黑体" w:hAnsi="黑体" w:eastAsia="黑体" w:cs="黑体"/>
          <w:color w:val="auto"/>
          <w:kern w:val="0"/>
          <w:sz w:val="32"/>
          <w:szCs w:val="32"/>
          <w:highlight w:val="none"/>
          <w:lang w:val="en-US" w:eastAsia="zh-CN" w:bidi="ar"/>
        </w:rPr>
        <w:t>五十八、餐饮油烟整治落实不力。国家发展改革委、商务部印发的《市场准入负面清单（2022年版）》明确将选址不当的餐饮企业列为“禁止准入类”。2023年7月，我省组织开展餐饮油烟专项整治，明确要求针对餐饮企业选址不当问题及时排查引导，采取另选新址、更换经营业态等措施，源头推进问题整治。贵池区源头管控落实不力，专项行动开展后，新注册的餐饮企业仍存在不符合选址要求的情况；同时，日常监管严重缺失，督察组抽查10家餐饮企业油烟净化设施使用情况发现，2家长期未清洗，3家不正常使用。</w:t>
      </w:r>
    </w:p>
    <w:p w14:paraId="53D30ED8">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i w:val="0"/>
          <w:iCs w:val="0"/>
          <w:color w:val="auto"/>
          <w:kern w:val="0"/>
          <w:sz w:val="32"/>
          <w:szCs w:val="32"/>
          <w:highlight w:val="none"/>
          <w:u w:val="none"/>
          <w:lang w:val="en-US" w:eastAsia="zh-CN" w:bidi="ar"/>
        </w:rPr>
        <w:t>2025年6月底。</w:t>
      </w:r>
    </w:p>
    <w:p w14:paraId="1D6ECE29">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楷体_GB2312" w:hAnsi="楷体_GB2312" w:eastAsia="楷体_GB2312" w:cs="楷体_GB2312"/>
          <w:color w:val="auto"/>
          <w:sz w:val="32"/>
          <w:szCs w:val="32"/>
          <w:highlight w:val="none"/>
          <w:u w:val="none" w:color="auto"/>
          <w:lang w:val="en-US" w:eastAsia="zh-CN"/>
        </w:rPr>
      </w:pPr>
      <w:r>
        <w:rPr>
          <w:rFonts w:hint="eastAsia" w:ascii="楷体_GB2312" w:hAnsi="楷体_GB2312" w:eastAsia="楷体_GB2312" w:cs="楷体_GB2312"/>
          <w:color w:val="auto"/>
          <w:sz w:val="32"/>
          <w:szCs w:val="32"/>
          <w:highlight w:val="none"/>
        </w:rPr>
        <w:t>整改进展：</w:t>
      </w:r>
      <w:r>
        <w:rPr>
          <w:rFonts w:hint="eastAsia" w:ascii="仿宋_GB2312" w:hAnsi="仿宋_GB2312" w:eastAsia="仿宋_GB2312" w:cs="仿宋_GB2312"/>
          <w:color w:val="auto"/>
          <w:kern w:val="2"/>
          <w:sz w:val="32"/>
          <w:szCs w:val="32"/>
          <w:highlight w:val="none"/>
          <w:lang w:val="en-US" w:eastAsia="zh-CN" w:bidi="ar-SA"/>
        </w:rPr>
        <w:t>已完成整改。</w:t>
      </w:r>
    </w:p>
    <w:p w14:paraId="7B7B4312">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1.依托城管领域突出生态环境问题百日攻坚行动、“四整治一保障”行动等，持续开展了餐饮油烟整治，全面排查梳理已建成餐饮饭店环境问题，对选址不当的餐饮饭店通过落实油烟净化、降噪等措施完成整改。</w:t>
      </w:r>
    </w:p>
    <w:p w14:paraId="173BAF19">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2.已严格落实餐饮服务项目环境保护事项事先告知机制，在申请人办理证照时，发放《致全区餐饮经营户的一封信》，并签署《环境保护承诺书》，引导经营者规范经营，强化经营者主体责任。</w:t>
      </w:r>
    </w:p>
    <w:p w14:paraId="1F69FA3D">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3.已完成对反馈问题中随机抽查的10家餐饮单位的排查，对发现的2家长期未清洗，3家不正常使用问题督促商家主动整改，已完成整改。</w:t>
      </w:r>
    </w:p>
    <w:p w14:paraId="7947EBD7">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4.依托社区网格员、城管队员、物业公司等，加大了日常监督管理力度，督促店家按时清洗油烟净化器并做好台账记录。</w:t>
      </w:r>
    </w:p>
    <w:p w14:paraId="14F2541B">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黑体" w:hAnsi="黑体" w:eastAsia="黑体" w:cs="黑体"/>
          <w:color w:val="auto"/>
          <w:kern w:val="0"/>
          <w:sz w:val="32"/>
          <w:szCs w:val="32"/>
          <w:highlight w:val="none"/>
          <w:lang w:val="en-US" w:eastAsia="zh-CN" w:bidi="ar"/>
        </w:rPr>
      </w:pPr>
      <w:r>
        <w:rPr>
          <w:rFonts w:hint="eastAsia" w:ascii="黑体" w:hAnsi="黑体" w:eastAsia="黑体" w:cs="黑体"/>
          <w:color w:val="auto"/>
          <w:kern w:val="0"/>
          <w:sz w:val="32"/>
          <w:szCs w:val="32"/>
          <w:highlight w:val="none"/>
          <w:lang w:val="en-US" w:eastAsia="zh-CN" w:bidi="ar"/>
        </w:rPr>
        <w:t>五十九、砖瓦行业环境管理水平较低。全市11家砖瓦制造企业中，3家未安装污染源自动监控设施。2024年3—5月期间，5家存在监测数据小时值超标情况。</w:t>
      </w:r>
    </w:p>
    <w:p w14:paraId="5AD2529C">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i w:val="0"/>
          <w:iCs w:val="0"/>
          <w:color w:val="auto"/>
          <w:kern w:val="0"/>
          <w:sz w:val="32"/>
          <w:szCs w:val="32"/>
          <w:highlight w:val="none"/>
          <w:u w:val="none"/>
          <w:lang w:val="en-US" w:eastAsia="zh-CN" w:bidi="ar"/>
        </w:rPr>
        <w:t>立行立改，长期坚持。</w:t>
      </w:r>
    </w:p>
    <w:p w14:paraId="3D477FAA">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楷体_GB2312" w:hAnsi="楷体_GB2312" w:eastAsia="楷体_GB2312" w:cs="楷体_GB2312"/>
          <w:color w:val="auto"/>
          <w:sz w:val="32"/>
          <w:szCs w:val="32"/>
          <w:highlight w:val="none"/>
          <w:u w:val="none" w:color="auto"/>
          <w:lang w:val="en-US" w:eastAsia="zh-CN"/>
        </w:rPr>
      </w:pPr>
      <w:r>
        <w:rPr>
          <w:rFonts w:hint="eastAsia" w:ascii="楷体_GB2312" w:hAnsi="楷体_GB2312" w:eastAsia="楷体_GB2312" w:cs="楷体_GB2312"/>
          <w:color w:val="auto"/>
          <w:sz w:val="32"/>
          <w:szCs w:val="32"/>
          <w:highlight w:val="none"/>
        </w:rPr>
        <w:t>整改进展：</w:t>
      </w:r>
      <w:r>
        <w:rPr>
          <w:rFonts w:hint="eastAsia" w:ascii="仿宋_GB2312" w:hAnsi="仿宋_GB2312" w:eastAsia="仿宋_GB2312" w:cs="仿宋_GB2312"/>
          <w:color w:val="auto"/>
          <w:kern w:val="2"/>
          <w:sz w:val="32"/>
          <w:szCs w:val="32"/>
          <w:highlight w:val="none"/>
          <w:lang w:val="en-US" w:eastAsia="zh-CN" w:bidi="ar-SA"/>
        </w:rPr>
        <w:t>已完成阶段性目标，继续推进。</w:t>
      </w:r>
    </w:p>
    <w:p w14:paraId="53839F2A">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640" w:firstLineChars="200"/>
        <w:jc w:val="left"/>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bookmarkStart w:id="57" w:name="OLE_LINK36"/>
      <w:r>
        <w:rPr>
          <w:rFonts w:hint="eastAsia" w:ascii="楷体_GB2312" w:hAnsi="楷体_GB2312" w:eastAsia="楷体_GB2312" w:cs="楷体_GB2312"/>
          <w:b w:val="0"/>
          <w:bCs w:val="0"/>
          <w:i w:val="0"/>
          <w:iCs w:val="0"/>
          <w:color w:val="auto"/>
          <w:kern w:val="0"/>
          <w:sz w:val="32"/>
          <w:szCs w:val="32"/>
          <w:highlight w:val="none"/>
          <w:u w:val="none"/>
          <w:lang w:val="en-US" w:eastAsia="zh-CN" w:bidi="ar"/>
        </w:rPr>
        <w:t>贵池区：</w:t>
      </w:r>
      <w:r>
        <w:rPr>
          <w:rFonts w:hint="eastAsia" w:ascii="仿宋_GB2312" w:hAnsi="仿宋_GB2312" w:eastAsia="仿宋_GB2312" w:cs="仿宋_GB2312"/>
          <w:i w:val="0"/>
          <w:iCs w:val="0"/>
          <w:color w:val="auto"/>
          <w:kern w:val="0"/>
          <w:sz w:val="32"/>
          <w:szCs w:val="32"/>
          <w:highlight w:val="none"/>
          <w:u w:val="none"/>
          <w:lang w:val="en-US" w:eastAsia="zh-CN" w:bidi="ar"/>
        </w:rPr>
        <w:t>1.</w:t>
      </w:r>
      <w:r>
        <w:rPr>
          <w:rFonts w:hint="eastAsia" w:ascii="仿宋_GB2312" w:hAnsi="仿宋_GB2312" w:eastAsia="仿宋_GB2312" w:cs="仿宋_GB2312"/>
          <w:color w:val="auto"/>
          <w:kern w:val="0"/>
          <w:sz w:val="32"/>
          <w:szCs w:val="32"/>
          <w:highlight w:val="none"/>
          <w:u w:val="none"/>
          <w:lang w:val="en-US" w:eastAsia="zh-CN" w:bidi="ar"/>
        </w:rPr>
        <w:t>贵池区生态环境分局已依法对1家企业未保证自动监测设备正常运行的违法行为进行查处。</w:t>
      </w:r>
    </w:p>
    <w:p w14:paraId="028F10EB">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2.池州市英家辉新型建材有限公司已委托第三方专业机构对在线设备进行运维，并安排专业人员同步进行管理，确保各项污染物稳定达标排放。其余1家未生产，不具备自动监控设备安装条件，已安排网格员开展不定期巡查，确保企业在生产前完成自动监控设备安装工作，切实履行生态环境保护主体责任。</w:t>
      </w:r>
    </w:p>
    <w:p w14:paraId="13EDF384">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楷体_GB2312" w:hAnsi="楷体_GB2312" w:eastAsia="楷体_GB2312" w:cs="楷体_GB2312"/>
          <w:b w:val="0"/>
          <w:bCs w:val="0"/>
          <w:i w:val="0"/>
          <w:iCs w:val="0"/>
          <w:color w:val="auto"/>
          <w:kern w:val="0"/>
          <w:sz w:val="32"/>
          <w:szCs w:val="32"/>
          <w:highlight w:val="none"/>
          <w:u w:val="none"/>
          <w:lang w:val="en-US" w:eastAsia="zh-CN" w:bidi="ar"/>
        </w:rPr>
        <w:t>东至县：</w:t>
      </w:r>
      <w:r>
        <w:rPr>
          <w:rFonts w:hint="eastAsia" w:ascii="仿宋_GB2312" w:hAnsi="仿宋_GB2312" w:eastAsia="仿宋_GB2312" w:cs="仿宋_GB2312"/>
          <w:i w:val="0"/>
          <w:iCs w:val="0"/>
          <w:color w:val="auto"/>
          <w:kern w:val="0"/>
          <w:sz w:val="32"/>
          <w:szCs w:val="32"/>
          <w:highlight w:val="none"/>
          <w:u w:val="none"/>
          <w:lang w:val="en-US" w:eastAsia="zh-CN" w:bidi="ar"/>
        </w:rPr>
        <w:t>东至县4家砖瓦制造企业均已安装联网污染源自动监控设施</w:t>
      </w:r>
      <w:bookmarkStart w:id="58" w:name="OLE_LINK43"/>
      <w:r>
        <w:rPr>
          <w:rFonts w:hint="eastAsia" w:ascii="仿宋_GB2312" w:hAnsi="仿宋_GB2312" w:eastAsia="仿宋_GB2312" w:cs="仿宋_GB2312"/>
          <w:i w:val="0"/>
          <w:iCs w:val="0"/>
          <w:color w:val="auto"/>
          <w:kern w:val="0"/>
          <w:sz w:val="32"/>
          <w:szCs w:val="32"/>
          <w:highlight w:val="none"/>
          <w:u w:val="none"/>
          <w:lang w:val="en-US" w:eastAsia="zh-CN" w:bidi="ar"/>
        </w:rPr>
        <w:t>。</w:t>
      </w:r>
      <w:bookmarkEnd w:id="58"/>
    </w:p>
    <w:p w14:paraId="51380775">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楷体_GB2312" w:hAnsi="楷体_GB2312" w:eastAsia="楷体_GB2312" w:cs="楷体_GB2312"/>
          <w:b w:val="0"/>
          <w:bCs w:val="0"/>
          <w:i w:val="0"/>
          <w:iCs w:val="0"/>
          <w:color w:val="auto"/>
          <w:kern w:val="0"/>
          <w:sz w:val="32"/>
          <w:szCs w:val="32"/>
          <w:highlight w:val="none"/>
          <w:u w:val="none"/>
          <w:lang w:val="en-US" w:eastAsia="zh-CN" w:bidi="ar"/>
        </w:rPr>
        <w:t>青阳县：</w:t>
      </w:r>
      <w:r>
        <w:rPr>
          <w:rFonts w:hint="eastAsia" w:ascii="仿宋_GB2312" w:hAnsi="仿宋_GB2312" w:eastAsia="仿宋_GB2312" w:cs="仿宋_GB2312"/>
          <w:i w:val="0"/>
          <w:iCs w:val="0"/>
          <w:color w:val="auto"/>
          <w:kern w:val="0"/>
          <w:sz w:val="32"/>
          <w:szCs w:val="32"/>
          <w:highlight w:val="none"/>
          <w:u w:val="none"/>
          <w:lang w:val="en-US" w:eastAsia="zh-CN" w:bidi="ar"/>
        </w:rPr>
        <w:t>青阳县亿鑫新型建筑材料有限公司新增一套湿电除尘设施，对自动监测设施重新验收并委托专业运维公司进行运维工作；其余3家未生产。</w:t>
      </w:r>
    </w:p>
    <w:p w14:paraId="722DB342">
      <w:pPr>
        <w:ind w:firstLine="640" w:firstLineChars="200"/>
        <w:rPr>
          <w:rFonts w:hint="eastAsia" w:ascii="楷体_GB2312" w:hAnsi="楷体_GB2312" w:eastAsia="楷体_GB2312" w:cs="楷体_GB2312"/>
          <w:color w:val="auto"/>
          <w:kern w:val="0"/>
          <w:sz w:val="32"/>
          <w:szCs w:val="32"/>
          <w:highlight w:val="none"/>
          <w:u w:val="none"/>
          <w:lang w:val="en-US" w:eastAsia="zh-CN" w:bidi="ar"/>
        </w:rPr>
      </w:pPr>
      <w:r>
        <w:rPr>
          <w:rFonts w:hint="eastAsia" w:ascii="楷体_GB2312" w:hAnsi="楷体_GB2312" w:eastAsia="楷体_GB2312" w:cs="楷体_GB2312"/>
          <w:i w:val="0"/>
          <w:iCs w:val="0"/>
          <w:color w:val="auto"/>
          <w:kern w:val="0"/>
          <w:sz w:val="32"/>
          <w:szCs w:val="32"/>
          <w:highlight w:val="none"/>
          <w:u w:val="none"/>
          <w:lang w:val="en-US" w:eastAsia="zh-CN" w:bidi="ar"/>
        </w:rPr>
        <w:t>江南集中区：</w:t>
      </w:r>
      <w:r>
        <w:rPr>
          <w:rFonts w:hint="eastAsia" w:ascii="仿宋_GB2312" w:hAnsi="仿宋_GB2312" w:eastAsia="仿宋_GB2312" w:cs="仿宋_GB2312"/>
          <w:i w:val="0"/>
          <w:iCs w:val="0"/>
          <w:color w:val="auto"/>
          <w:kern w:val="0"/>
          <w:sz w:val="32"/>
          <w:szCs w:val="32"/>
          <w:highlight w:val="none"/>
          <w:u w:val="none"/>
          <w:lang w:val="en-US" w:eastAsia="zh-CN" w:bidi="ar"/>
        </w:rPr>
        <w:t>安徽锦朝环保科技公司现生产项目为年产2000万块仿古青砖技改项目，该项目中无焙烧工序，</w:t>
      </w:r>
      <w:bookmarkStart w:id="59" w:name="OLE_LINK42"/>
      <w:r>
        <w:rPr>
          <w:rFonts w:hint="eastAsia" w:ascii="仿宋_GB2312" w:hAnsi="仿宋_GB2312" w:eastAsia="仿宋_GB2312" w:cs="仿宋_GB2312"/>
          <w:i w:val="0"/>
          <w:iCs w:val="0"/>
          <w:color w:val="auto"/>
          <w:kern w:val="0"/>
          <w:sz w:val="32"/>
          <w:szCs w:val="32"/>
          <w:highlight w:val="none"/>
          <w:u w:val="none"/>
          <w:lang w:val="en-US" w:eastAsia="zh-CN" w:bidi="ar"/>
        </w:rPr>
        <w:t>根据排污许可要求，</w:t>
      </w:r>
      <w:bookmarkEnd w:id="59"/>
      <w:r>
        <w:rPr>
          <w:rFonts w:hint="eastAsia" w:ascii="仿宋_GB2312" w:hAnsi="仿宋_GB2312" w:eastAsia="仿宋_GB2312" w:cs="仿宋_GB2312"/>
          <w:i w:val="0"/>
          <w:iCs w:val="0"/>
          <w:color w:val="auto"/>
          <w:kern w:val="0"/>
          <w:sz w:val="32"/>
          <w:szCs w:val="32"/>
          <w:highlight w:val="none"/>
          <w:u w:val="none"/>
          <w:lang w:val="en-US" w:eastAsia="zh-CN" w:bidi="ar"/>
        </w:rPr>
        <w:t>无需安装污染源自动监控设施。</w:t>
      </w:r>
    </w:p>
    <w:bookmarkEnd w:id="57"/>
    <w:p w14:paraId="68EF358F">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黑体" w:hAnsi="黑体" w:eastAsia="黑体" w:cs="黑体"/>
          <w:color w:val="auto"/>
          <w:kern w:val="0"/>
          <w:sz w:val="32"/>
          <w:szCs w:val="32"/>
          <w:highlight w:val="none"/>
          <w:lang w:val="en-US" w:eastAsia="zh-CN" w:bidi="ar"/>
        </w:rPr>
      </w:pPr>
      <w:r>
        <w:rPr>
          <w:rFonts w:hint="eastAsia" w:ascii="黑体" w:hAnsi="黑体" w:eastAsia="黑体" w:cs="黑体"/>
          <w:color w:val="auto"/>
          <w:kern w:val="0"/>
          <w:sz w:val="32"/>
          <w:szCs w:val="32"/>
          <w:highlight w:val="none"/>
          <w:lang w:val="en-US" w:eastAsia="zh-CN" w:bidi="ar"/>
        </w:rPr>
        <w:t>六十、督察发现，多家企业大气污染防治措施落实不到位。东至县久祥新型墙体材料有限公司等多家砖瓦窑企业违规添加燃煤作为燃料，年均用煤量均在一万吨以上，但未纳入用煤企业清单进行管理。</w:t>
      </w:r>
    </w:p>
    <w:p w14:paraId="3A81EE0B">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i w:val="0"/>
          <w:iCs w:val="0"/>
          <w:color w:val="auto"/>
          <w:kern w:val="0"/>
          <w:sz w:val="32"/>
          <w:szCs w:val="32"/>
          <w:highlight w:val="none"/>
          <w:u w:val="none"/>
          <w:lang w:val="en-US" w:eastAsia="zh-CN" w:bidi="ar"/>
        </w:rPr>
        <w:t>2025年6月底。</w:t>
      </w:r>
    </w:p>
    <w:p w14:paraId="4C5FFF7E">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楷体_GB2312" w:hAnsi="楷体_GB2312" w:eastAsia="楷体_GB2312" w:cs="楷体_GB2312"/>
          <w:color w:val="auto"/>
          <w:sz w:val="32"/>
          <w:szCs w:val="32"/>
          <w:highlight w:val="none"/>
          <w:u w:val="none" w:color="auto"/>
          <w:lang w:val="en-US" w:eastAsia="zh-CN"/>
        </w:rPr>
      </w:pPr>
      <w:r>
        <w:rPr>
          <w:rFonts w:hint="eastAsia" w:ascii="楷体_GB2312" w:hAnsi="楷体_GB2312" w:eastAsia="楷体_GB2312" w:cs="楷体_GB2312"/>
          <w:color w:val="auto"/>
          <w:sz w:val="32"/>
          <w:szCs w:val="32"/>
          <w:highlight w:val="none"/>
        </w:rPr>
        <w:t>整改进展：</w:t>
      </w:r>
      <w:r>
        <w:rPr>
          <w:rFonts w:hint="eastAsia" w:ascii="仿宋_GB2312" w:hAnsi="仿宋_GB2312" w:eastAsia="仿宋_GB2312" w:cs="仿宋_GB2312"/>
          <w:color w:val="auto"/>
          <w:kern w:val="2"/>
          <w:sz w:val="32"/>
          <w:szCs w:val="32"/>
          <w:highlight w:val="none"/>
          <w:lang w:val="en-US" w:eastAsia="zh-CN" w:bidi="ar-SA"/>
        </w:rPr>
        <w:t>已完成整改。</w:t>
      </w:r>
    </w:p>
    <w:p w14:paraId="77F7C715">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1.东至县久祥新型墙体材料有限公司当前所使用的原辅料为页岩石、煤矸石等均符合环评及批复要求；能源消费方面，该公司年用电量186万千瓦时，用煤量10.5吨。</w:t>
      </w:r>
    </w:p>
    <w:p w14:paraId="1C146A38">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2.经核实，东至县无年能源消费量5000吨标准煤以上的砖瓦企业。</w:t>
      </w:r>
    </w:p>
    <w:p w14:paraId="2DA089C7">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黑体" w:hAnsi="黑体" w:eastAsia="黑体" w:cs="黑体"/>
          <w:color w:val="auto"/>
          <w:kern w:val="0"/>
          <w:sz w:val="32"/>
          <w:szCs w:val="32"/>
          <w:highlight w:val="none"/>
          <w:lang w:val="en-US" w:eastAsia="zh-CN" w:bidi="ar"/>
        </w:rPr>
      </w:pPr>
      <w:r>
        <w:rPr>
          <w:rFonts w:hint="eastAsia" w:ascii="黑体" w:hAnsi="黑体" w:eastAsia="黑体" w:cs="黑体"/>
          <w:color w:val="auto"/>
          <w:kern w:val="0"/>
          <w:sz w:val="32"/>
          <w:szCs w:val="32"/>
          <w:highlight w:val="none"/>
          <w:lang w:val="en-US" w:eastAsia="zh-CN" w:bidi="ar"/>
        </w:rPr>
        <w:t>六十一、</w:t>
      </w:r>
      <w:bookmarkStart w:id="60" w:name="OLE_LINK17"/>
      <w:r>
        <w:rPr>
          <w:rFonts w:hint="eastAsia" w:ascii="黑体" w:hAnsi="黑体" w:eastAsia="黑体" w:cs="黑体"/>
          <w:color w:val="auto"/>
          <w:kern w:val="0"/>
          <w:sz w:val="32"/>
          <w:szCs w:val="32"/>
          <w:highlight w:val="none"/>
          <w:lang w:val="en-US" w:eastAsia="zh-CN" w:bidi="ar"/>
        </w:rPr>
        <w:t>强力建材有限责任</w:t>
      </w:r>
      <w:bookmarkEnd w:id="60"/>
      <w:r>
        <w:rPr>
          <w:rFonts w:hint="eastAsia" w:ascii="黑体" w:hAnsi="黑体" w:eastAsia="黑体" w:cs="黑体"/>
          <w:color w:val="auto"/>
          <w:kern w:val="0"/>
          <w:sz w:val="32"/>
          <w:szCs w:val="32"/>
          <w:highlight w:val="none"/>
          <w:lang w:val="en-US" w:eastAsia="zh-CN" w:bidi="ar"/>
        </w:rPr>
        <w:t>公司物料转运场地未硬化，破碎车间上料口无收尘设施，部分原料露天堆放；超越新型墙材有限公司自2023年4月安装自动监控设施以来，每月均存在监测数据异常和日均值超标现象。</w:t>
      </w:r>
    </w:p>
    <w:p w14:paraId="5362C9CC">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i w:val="0"/>
          <w:iCs w:val="0"/>
          <w:color w:val="auto"/>
          <w:kern w:val="0"/>
          <w:sz w:val="32"/>
          <w:szCs w:val="32"/>
          <w:highlight w:val="none"/>
          <w:u w:val="none"/>
          <w:lang w:val="en-US" w:eastAsia="zh-CN" w:bidi="ar"/>
        </w:rPr>
        <w:t>2025年3月底。</w:t>
      </w:r>
    </w:p>
    <w:p w14:paraId="7353C8D6">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楷体_GB2312" w:hAnsi="楷体_GB2312" w:eastAsia="楷体_GB2312" w:cs="楷体_GB2312"/>
          <w:color w:val="auto"/>
          <w:sz w:val="32"/>
          <w:szCs w:val="32"/>
          <w:highlight w:val="none"/>
          <w:u w:val="none" w:color="auto"/>
          <w:lang w:val="en-US" w:eastAsia="zh-CN"/>
        </w:rPr>
      </w:pPr>
      <w:r>
        <w:rPr>
          <w:rFonts w:hint="eastAsia" w:ascii="楷体_GB2312" w:hAnsi="楷体_GB2312" w:eastAsia="楷体_GB2312" w:cs="楷体_GB2312"/>
          <w:color w:val="auto"/>
          <w:sz w:val="32"/>
          <w:szCs w:val="32"/>
          <w:highlight w:val="none"/>
        </w:rPr>
        <w:t>整改进展：</w:t>
      </w:r>
      <w:r>
        <w:rPr>
          <w:rFonts w:hint="eastAsia" w:ascii="仿宋_GB2312" w:hAnsi="仿宋_GB2312" w:eastAsia="仿宋_GB2312" w:cs="仿宋_GB2312"/>
          <w:color w:val="auto"/>
          <w:kern w:val="2"/>
          <w:sz w:val="32"/>
          <w:szCs w:val="32"/>
          <w:highlight w:val="none"/>
          <w:lang w:val="en-US" w:eastAsia="zh-CN" w:bidi="ar-SA"/>
        </w:rPr>
        <w:t>已完成整改。</w:t>
      </w:r>
    </w:p>
    <w:p w14:paraId="678C1C2D">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 xml:space="preserve">1.强力建材有限责任公司已硬化物料转运场，在破碎车间上料口安装收尘设施，原料已覆盖，并完成雨污排水改造。          </w:t>
      </w:r>
    </w:p>
    <w:p w14:paraId="46BB601C">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2.超越新型墙材有限公司已完成整改。</w:t>
      </w:r>
    </w:p>
    <w:p w14:paraId="59CA9931">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right="0" w:rightChars="0" w:firstLine="640" w:firstLineChars="200"/>
        <w:jc w:val="both"/>
        <w:textAlignment w:val="auto"/>
        <w:outlineLvl w:val="9"/>
        <w:rPr>
          <w:rFonts w:hint="eastAsia" w:ascii="黑体" w:hAnsi="黑体" w:eastAsia="黑体" w:cs="黑体"/>
          <w:color w:val="auto"/>
          <w:kern w:val="0"/>
          <w:sz w:val="32"/>
          <w:szCs w:val="32"/>
          <w:highlight w:val="none"/>
          <w:lang w:val="en-US" w:eastAsia="zh-CN" w:bidi="ar"/>
        </w:rPr>
      </w:pPr>
      <w:r>
        <w:rPr>
          <w:rFonts w:hint="eastAsia" w:ascii="黑体" w:hAnsi="黑体" w:eastAsia="黑体" w:cs="黑体"/>
          <w:color w:val="auto"/>
          <w:kern w:val="0"/>
          <w:sz w:val="32"/>
          <w:szCs w:val="32"/>
          <w:highlight w:val="none"/>
          <w:lang w:val="en-US" w:eastAsia="zh-CN" w:bidi="ar"/>
        </w:rPr>
        <w:t>六十二、青阳县独龙建材、恒发建材、亿鑫建材3家企业均存在煤矸石等物料露天堆放，降尘抑尘措施落实不到位，物料仓库未密闭问题。</w:t>
      </w:r>
    </w:p>
    <w:p w14:paraId="3A7215C2">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i w:val="0"/>
          <w:iCs w:val="0"/>
          <w:color w:val="auto"/>
          <w:kern w:val="0"/>
          <w:sz w:val="32"/>
          <w:szCs w:val="32"/>
          <w:highlight w:val="none"/>
          <w:u w:val="none"/>
          <w:lang w:val="en-US" w:eastAsia="zh-CN" w:bidi="ar"/>
        </w:rPr>
        <w:t>2025年6月底。</w:t>
      </w:r>
    </w:p>
    <w:p w14:paraId="3CF4797D">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kern w:val="2"/>
          <w:sz w:val="32"/>
          <w:szCs w:val="32"/>
          <w:highlight w:val="none"/>
          <w:lang w:val="en-US" w:eastAsia="zh-CN" w:bidi="ar-SA"/>
        </w:rPr>
      </w:pPr>
      <w:r>
        <w:rPr>
          <w:rFonts w:hint="eastAsia" w:ascii="楷体_GB2312" w:hAnsi="楷体_GB2312" w:eastAsia="楷体_GB2312" w:cs="楷体_GB2312"/>
          <w:color w:val="auto"/>
          <w:sz w:val="32"/>
          <w:szCs w:val="32"/>
          <w:highlight w:val="none"/>
        </w:rPr>
        <w:t>整改进展：</w:t>
      </w:r>
      <w:r>
        <w:rPr>
          <w:rFonts w:hint="eastAsia" w:ascii="仿宋_GB2312" w:hAnsi="仿宋_GB2312" w:eastAsia="仿宋_GB2312" w:cs="仿宋_GB2312"/>
          <w:color w:val="auto"/>
          <w:kern w:val="2"/>
          <w:sz w:val="32"/>
          <w:szCs w:val="32"/>
          <w:highlight w:val="none"/>
          <w:lang w:val="en-US" w:eastAsia="zh-CN" w:bidi="ar-SA"/>
        </w:rPr>
        <w:t>已完成整改。</w:t>
      </w:r>
    </w:p>
    <w:p w14:paraId="2DC8FF29">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1.青阳县亿鑫建材、独龙建材露天堆放物料已入库存放，原料库已封闭到位，恒发建材的物料已及时入库。</w:t>
      </w:r>
    </w:p>
    <w:p w14:paraId="654B4455">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2.企业已按要求增加每日清扫频次，落实降尘抑尘措施。</w:t>
      </w:r>
    </w:p>
    <w:p w14:paraId="4C3FB5ED">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黑体" w:hAnsi="黑体" w:eastAsia="黑体" w:cs="黑体"/>
          <w:color w:val="auto"/>
          <w:kern w:val="0"/>
          <w:sz w:val="32"/>
          <w:szCs w:val="32"/>
          <w:highlight w:val="none"/>
          <w:lang w:val="en-US" w:eastAsia="zh-CN" w:bidi="ar"/>
        </w:rPr>
      </w:pPr>
      <w:r>
        <w:rPr>
          <w:rFonts w:hint="eastAsia" w:ascii="黑体" w:hAnsi="黑体" w:eastAsia="黑体" w:cs="黑体"/>
          <w:color w:val="auto"/>
          <w:kern w:val="0"/>
          <w:sz w:val="32"/>
          <w:szCs w:val="32"/>
          <w:highlight w:val="none"/>
          <w:lang w:val="en-US" w:eastAsia="zh-CN" w:bidi="ar"/>
        </w:rPr>
        <w:t>六十三、矿山保护修复不到位。部分矿山生态修复效果差。贵池区里山矿业有限责任公司石灰岩矿修复过程中碎石清理不彻底，养护不到位，部分树木死亡。贵池区贵兴矿业事旺石灰石矿、石台县栗阳熔剂用白云岩石灰岩矿、</w:t>
      </w:r>
      <w:bookmarkStart w:id="61" w:name="OLE_LINK30"/>
      <w:r>
        <w:rPr>
          <w:rFonts w:hint="eastAsia" w:ascii="黑体" w:hAnsi="黑体" w:eastAsia="黑体" w:cs="黑体"/>
          <w:color w:val="auto"/>
          <w:kern w:val="0"/>
          <w:sz w:val="32"/>
          <w:szCs w:val="32"/>
          <w:highlight w:val="none"/>
          <w:lang w:val="en-US" w:eastAsia="zh-CN" w:bidi="ar"/>
        </w:rPr>
        <w:t>东至县黄柏金矿</w:t>
      </w:r>
      <w:bookmarkEnd w:id="61"/>
      <w:r>
        <w:rPr>
          <w:rFonts w:hint="eastAsia" w:ascii="黑体" w:hAnsi="黑体" w:eastAsia="黑体" w:cs="黑体"/>
          <w:color w:val="auto"/>
          <w:kern w:val="0"/>
          <w:sz w:val="32"/>
          <w:szCs w:val="32"/>
          <w:highlight w:val="none"/>
          <w:lang w:val="en-US" w:eastAsia="zh-CN" w:bidi="ar"/>
        </w:rPr>
        <w:t>均存在修复不到位和水土流失现象。</w:t>
      </w:r>
    </w:p>
    <w:p w14:paraId="60AE68B2">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i w:val="0"/>
          <w:iCs w:val="0"/>
          <w:color w:val="auto"/>
          <w:kern w:val="0"/>
          <w:sz w:val="32"/>
          <w:szCs w:val="32"/>
          <w:highlight w:val="none"/>
          <w:u w:val="none"/>
          <w:lang w:val="en-US" w:eastAsia="zh-CN" w:bidi="ar"/>
        </w:rPr>
        <w:t>2025年底。</w:t>
      </w:r>
    </w:p>
    <w:p w14:paraId="5C0FC6E2">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kern w:val="2"/>
          <w:sz w:val="32"/>
          <w:szCs w:val="32"/>
          <w:highlight w:val="none"/>
          <w:lang w:val="en-US" w:eastAsia="zh-CN" w:bidi="ar-SA"/>
        </w:rPr>
      </w:pPr>
      <w:r>
        <w:rPr>
          <w:rFonts w:hint="eastAsia" w:ascii="楷体_GB2312" w:hAnsi="楷体_GB2312" w:eastAsia="楷体_GB2312" w:cs="楷体_GB2312"/>
          <w:color w:val="auto"/>
          <w:sz w:val="32"/>
          <w:szCs w:val="32"/>
          <w:highlight w:val="none"/>
        </w:rPr>
        <w:t>整改进展：</w:t>
      </w:r>
      <w:r>
        <w:rPr>
          <w:rFonts w:hint="eastAsia" w:ascii="仿宋_GB2312" w:hAnsi="仿宋_GB2312" w:eastAsia="仿宋_GB2312" w:cs="仿宋_GB2312"/>
          <w:color w:val="auto"/>
          <w:kern w:val="2"/>
          <w:sz w:val="32"/>
          <w:szCs w:val="32"/>
          <w:highlight w:val="none"/>
          <w:lang w:val="en-US" w:eastAsia="zh-CN" w:bidi="ar-SA"/>
        </w:rPr>
        <w:t>已完成整改。</w:t>
      </w:r>
    </w:p>
    <w:p w14:paraId="52859A32">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w w:val="100"/>
          <w:sz w:val="32"/>
          <w:szCs w:val="32"/>
          <w:highlight w:val="none"/>
          <w:vertAlign w:val="baseline"/>
          <w:lang w:val="en-US" w:eastAsia="zh-CN"/>
        </w:rPr>
      </w:pPr>
      <w:bookmarkStart w:id="62" w:name="OLE_LINK69"/>
      <w:r>
        <w:rPr>
          <w:rFonts w:hint="eastAsia" w:ascii="仿宋_GB2312" w:hAnsi="仿宋_GB2312" w:eastAsia="仿宋_GB2312" w:cs="仿宋_GB2312"/>
          <w:color w:val="auto"/>
          <w:w w:val="100"/>
          <w:sz w:val="32"/>
          <w:szCs w:val="32"/>
          <w:highlight w:val="none"/>
          <w:vertAlign w:val="baseline"/>
          <w:lang w:val="en-US" w:eastAsia="zh-CN"/>
        </w:rPr>
        <w:t>1.</w:t>
      </w:r>
      <w:bookmarkStart w:id="63" w:name="OLE_LINK48"/>
      <w:r>
        <w:rPr>
          <w:rFonts w:hint="eastAsia" w:ascii="仿宋_GB2312" w:hAnsi="仿宋_GB2312" w:eastAsia="仿宋_GB2312" w:cs="仿宋_GB2312"/>
          <w:color w:val="auto"/>
          <w:w w:val="100"/>
          <w:sz w:val="32"/>
          <w:szCs w:val="32"/>
          <w:highlight w:val="none"/>
          <w:vertAlign w:val="baseline"/>
          <w:lang w:val="en-US" w:eastAsia="zh-CN"/>
        </w:rPr>
        <w:t>贵池区</w:t>
      </w:r>
      <w:bookmarkEnd w:id="63"/>
      <w:r>
        <w:rPr>
          <w:rFonts w:hint="eastAsia" w:ascii="仿宋_GB2312" w:hAnsi="仿宋_GB2312" w:eastAsia="仿宋_GB2312" w:cs="仿宋_GB2312"/>
          <w:color w:val="auto"/>
          <w:w w:val="100"/>
          <w:sz w:val="32"/>
          <w:szCs w:val="32"/>
          <w:highlight w:val="none"/>
          <w:vertAlign w:val="baseline"/>
          <w:lang w:val="en-US" w:eastAsia="zh-CN"/>
        </w:rPr>
        <w:t>里山矿业公司已完成碎石清理及喷播，更换树木500余棵，播撒草籽150公斤。</w:t>
      </w:r>
    </w:p>
    <w:p w14:paraId="56C5325B">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w w:val="100"/>
          <w:sz w:val="32"/>
          <w:szCs w:val="32"/>
          <w:highlight w:val="none"/>
          <w:vertAlign w:val="baseline"/>
          <w:lang w:val="en-US" w:eastAsia="zh-CN"/>
        </w:rPr>
      </w:pPr>
      <w:r>
        <w:rPr>
          <w:rFonts w:hint="eastAsia" w:ascii="仿宋_GB2312" w:hAnsi="仿宋_GB2312" w:eastAsia="仿宋_GB2312" w:cs="仿宋_GB2312"/>
          <w:color w:val="auto"/>
          <w:w w:val="100"/>
          <w:sz w:val="32"/>
          <w:szCs w:val="32"/>
          <w:highlight w:val="none"/>
          <w:vertAlign w:val="baseline"/>
          <w:lang w:val="en-US" w:eastAsia="zh-CN"/>
        </w:rPr>
        <w:t>2.贵池区贵兴矿业事旺石灰石矿</w:t>
      </w:r>
      <w:r>
        <w:rPr>
          <w:rFonts w:hint="eastAsia" w:ascii="仿宋_GB2312" w:hAnsi="仿宋_GB2312" w:eastAsia="仿宋_GB2312" w:cs="仿宋_GB2312"/>
          <w:b w:val="0"/>
          <w:bCs w:val="0"/>
          <w:color w:val="auto"/>
          <w:w w:val="100"/>
          <w:kern w:val="2"/>
          <w:sz w:val="32"/>
          <w:szCs w:val="32"/>
          <w:highlight w:val="none"/>
          <w:vertAlign w:val="baseline"/>
          <w:lang w:val="en-US" w:eastAsia="zh-CN" w:bidi="ar-SA"/>
        </w:rPr>
        <w:t>已完成采场底部及西侧排水沟修建工作；</w:t>
      </w:r>
      <w:r>
        <w:rPr>
          <w:rFonts w:hint="eastAsia" w:ascii="仿宋_GB2312" w:hAnsi="仿宋_GB2312" w:eastAsia="仿宋_GB2312" w:cs="仿宋_GB2312"/>
          <w:color w:val="auto"/>
          <w:w w:val="100"/>
          <w:sz w:val="32"/>
          <w:szCs w:val="32"/>
          <w:highlight w:val="none"/>
          <w:vertAlign w:val="baseline"/>
          <w:lang w:val="en-US" w:eastAsia="zh-CN"/>
        </w:rPr>
        <w:t>底盘裸露区域已经全部覆土，按照乔灌草混种的方式复绿，采场东侧+145米至+175米平台完成复绿。</w:t>
      </w:r>
    </w:p>
    <w:p w14:paraId="68E2F203">
      <w:pPr>
        <w:pStyle w:val="4"/>
        <w:pageBreakBefore w:val="0"/>
        <w:widowControl w:val="0"/>
        <w:kinsoku/>
        <w:wordWrap/>
        <w:topLinePunct w:val="0"/>
        <w:autoSpaceDE/>
        <w:autoSpaceDN/>
        <w:bidi w:val="0"/>
        <w:adjustRightInd/>
        <w:snapToGrid/>
        <w:spacing w:before="0" w:after="0" w:line="560" w:lineRule="exact"/>
        <w:ind w:firstLine="640" w:firstLineChars="200"/>
        <w:textAlignment w:val="auto"/>
        <w:rPr>
          <w:rFonts w:hint="default" w:ascii="仿宋_GB2312" w:hAnsi="仿宋_GB2312" w:eastAsia="仿宋_GB2312" w:cs="仿宋_GB2312"/>
          <w:b w:val="0"/>
          <w:bCs w:val="0"/>
          <w:color w:val="auto"/>
          <w:w w:val="100"/>
          <w:kern w:val="2"/>
          <w:sz w:val="32"/>
          <w:szCs w:val="32"/>
          <w:highlight w:val="none"/>
          <w:vertAlign w:val="baseline"/>
          <w:lang w:val="en-US" w:eastAsia="zh-CN" w:bidi="ar-SA"/>
        </w:rPr>
      </w:pPr>
      <w:r>
        <w:rPr>
          <w:rFonts w:hint="eastAsia" w:ascii="仿宋_GB2312" w:hAnsi="仿宋_GB2312" w:eastAsia="仿宋_GB2312" w:cs="仿宋_GB2312"/>
          <w:b w:val="0"/>
          <w:bCs w:val="0"/>
          <w:color w:val="auto"/>
          <w:w w:val="100"/>
          <w:kern w:val="2"/>
          <w:sz w:val="32"/>
          <w:szCs w:val="32"/>
          <w:highlight w:val="none"/>
          <w:vertAlign w:val="baseline"/>
          <w:lang w:val="en-US" w:eastAsia="zh-CN" w:bidi="ar-SA"/>
        </w:rPr>
        <w:t>3.</w:t>
      </w:r>
      <w:r>
        <w:rPr>
          <w:rFonts w:hint="default" w:ascii="仿宋_GB2312" w:hAnsi="仿宋_GB2312" w:eastAsia="仿宋_GB2312" w:cs="仿宋_GB2312"/>
          <w:b w:val="0"/>
          <w:bCs w:val="0"/>
          <w:color w:val="auto"/>
          <w:w w:val="100"/>
          <w:kern w:val="2"/>
          <w:sz w:val="32"/>
          <w:szCs w:val="32"/>
          <w:highlight w:val="none"/>
          <w:vertAlign w:val="baseline"/>
          <w:lang w:val="en-US" w:eastAsia="zh-CN" w:bidi="ar-SA"/>
        </w:rPr>
        <w:t>已对</w:t>
      </w:r>
      <w:r>
        <w:rPr>
          <w:rFonts w:hint="eastAsia" w:ascii="仿宋_GB2312" w:hAnsi="仿宋_GB2312" w:eastAsia="仿宋_GB2312" w:cs="仿宋_GB2312"/>
          <w:b w:val="0"/>
          <w:bCs w:val="0"/>
          <w:color w:val="auto"/>
          <w:w w:val="100"/>
          <w:kern w:val="2"/>
          <w:sz w:val="32"/>
          <w:szCs w:val="32"/>
          <w:highlight w:val="none"/>
          <w:vertAlign w:val="baseline"/>
          <w:lang w:val="en-US" w:eastAsia="zh-CN" w:bidi="ar-SA"/>
        </w:rPr>
        <w:t>东至县</w:t>
      </w:r>
      <w:r>
        <w:rPr>
          <w:rFonts w:hint="default" w:ascii="仿宋_GB2312" w:hAnsi="仿宋_GB2312" w:eastAsia="仿宋_GB2312" w:cs="仿宋_GB2312"/>
          <w:b w:val="0"/>
          <w:bCs w:val="0"/>
          <w:color w:val="auto"/>
          <w:w w:val="100"/>
          <w:kern w:val="2"/>
          <w:sz w:val="32"/>
          <w:szCs w:val="32"/>
          <w:highlight w:val="none"/>
          <w:vertAlign w:val="baseline"/>
          <w:lang w:val="en-US" w:eastAsia="zh-CN" w:bidi="ar-SA"/>
        </w:rPr>
        <w:t>黄柏金矿修复区水土流失区域实施水土保持建设工程，修建护坡并分段建拦挡坝，水土流失现象明显改善</w:t>
      </w:r>
      <w:r>
        <w:rPr>
          <w:rFonts w:hint="eastAsia" w:ascii="仿宋_GB2312" w:hAnsi="仿宋_GB2312" w:eastAsia="仿宋_GB2312" w:cs="仿宋_GB2312"/>
          <w:b w:val="0"/>
          <w:bCs w:val="0"/>
          <w:color w:val="auto"/>
          <w:w w:val="100"/>
          <w:kern w:val="2"/>
          <w:sz w:val="32"/>
          <w:szCs w:val="32"/>
          <w:highlight w:val="none"/>
          <w:vertAlign w:val="baseline"/>
          <w:lang w:val="en-US" w:eastAsia="zh-CN" w:bidi="ar-SA"/>
        </w:rPr>
        <w:t>，并</w:t>
      </w:r>
      <w:r>
        <w:rPr>
          <w:rFonts w:hint="default" w:ascii="仿宋_GB2312" w:hAnsi="仿宋_GB2312" w:eastAsia="仿宋_GB2312" w:cs="仿宋_GB2312"/>
          <w:b w:val="0"/>
          <w:bCs w:val="0"/>
          <w:color w:val="auto"/>
          <w:w w:val="100"/>
          <w:kern w:val="2"/>
          <w:sz w:val="32"/>
          <w:szCs w:val="32"/>
          <w:highlight w:val="none"/>
          <w:vertAlign w:val="baseline"/>
          <w:lang w:val="en-US" w:eastAsia="zh-CN" w:bidi="ar-SA"/>
        </w:rPr>
        <w:t>对修复不到位区域进行补种绿植、播撒草籽。</w:t>
      </w:r>
    </w:p>
    <w:p w14:paraId="45CA113B">
      <w:pPr>
        <w:keepNext w:val="0"/>
        <w:keepLines w:val="0"/>
        <w:pageBreakBefore w:val="0"/>
        <w:widowControl w:val="0"/>
        <w:kinsoku/>
        <w:wordWrap/>
        <w:overflowPunct w:val="0"/>
        <w:topLinePunct w:val="0"/>
        <w:autoSpaceDE/>
        <w:autoSpaceDN/>
        <w:bidi w:val="0"/>
        <w:adjustRightInd/>
        <w:snapToGrid/>
        <w:spacing w:line="560" w:lineRule="exact"/>
        <w:ind w:right="0" w:rightChars="0" w:firstLine="640" w:firstLineChars="200"/>
        <w:jc w:val="both"/>
        <w:textAlignment w:val="auto"/>
        <w:outlineLvl w:val="9"/>
        <w:rPr>
          <w:rFonts w:hint="eastAsia" w:ascii="黑体" w:hAnsi="黑体" w:eastAsia="黑体" w:cs="黑体"/>
          <w:color w:val="auto"/>
          <w:kern w:val="0"/>
          <w:sz w:val="32"/>
          <w:szCs w:val="32"/>
          <w:highlight w:val="none"/>
          <w:lang w:val="en-US" w:eastAsia="zh-CN" w:bidi="ar"/>
        </w:rPr>
      </w:pPr>
      <w:r>
        <w:rPr>
          <w:rFonts w:hint="eastAsia" w:ascii="仿宋_GB2312" w:hAnsi="仿宋_GB2312" w:eastAsia="仿宋_GB2312" w:cs="仿宋_GB2312"/>
          <w:color w:val="auto"/>
          <w:w w:val="100"/>
          <w:sz w:val="32"/>
          <w:szCs w:val="32"/>
          <w:highlight w:val="none"/>
          <w:vertAlign w:val="baseline"/>
          <w:lang w:val="en-US" w:eastAsia="zh-CN"/>
        </w:rPr>
        <w:t>4.石台县栗阳熔剂用白云岩石灰岩矿已对因雨水冲刷受损的运矿道路进行修整，完成对靠帮边坡挂网喷播“跟进式”的修复措施。</w:t>
      </w:r>
    </w:p>
    <w:bookmarkEnd w:id="62"/>
    <w:p w14:paraId="2172D1EE">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黑体" w:hAnsi="黑体" w:eastAsia="黑体" w:cs="黑体"/>
          <w:color w:val="auto"/>
          <w:kern w:val="0"/>
          <w:sz w:val="32"/>
          <w:szCs w:val="32"/>
          <w:highlight w:val="none"/>
          <w:lang w:val="en-US" w:eastAsia="zh-CN" w:bidi="ar"/>
        </w:rPr>
      </w:pPr>
      <w:r>
        <w:rPr>
          <w:rFonts w:hint="eastAsia" w:ascii="黑体" w:hAnsi="黑体" w:eastAsia="黑体" w:cs="黑体"/>
          <w:color w:val="auto"/>
          <w:kern w:val="0"/>
          <w:sz w:val="32"/>
          <w:szCs w:val="32"/>
          <w:highlight w:val="none"/>
          <w:lang w:val="en-US" w:eastAsia="zh-CN" w:bidi="ar"/>
        </w:rPr>
        <w:t>六十四、生态环境保护要求落实不到位。石台县徽众钙业有限公司存在非法倾倒泥浆、固废等问题。</w:t>
      </w:r>
    </w:p>
    <w:p w14:paraId="7251690F">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i w:val="0"/>
          <w:iCs w:val="0"/>
          <w:color w:val="auto"/>
          <w:kern w:val="0"/>
          <w:sz w:val="32"/>
          <w:szCs w:val="32"/>
          <w:highlight w:val="none"/>
          <w:u w:val="none"/>
          <w:lang w:val="en-US" w:eastAsia="zh-CN" w:bidi="ar"/>
        </w:rPr>
        <w:t>2025年3月底。</w:t>
      </w:r>
    </w:p>
    <w:p w14:paraId="772D3898">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kern w:val="2"/>
          <w:sz w:val="32"/>
          <w:szCs w:val="32"/>
          <w:highlight w:val="none"/>
          <w:lang w:val="en-US" w:eastAsia="zh-CN" w:bidi="ar-SA"/>
        </w:rPr>
      </w:pPr>
      <w:r>
        <w:rPr>
          <w:rFonts w:hint="eastAsia" w:ascii="楷体_GB2312" w:hAnsi="楷体_GB2312" w:eastAsia="楷体_GB2312" w:cs="楷体_GB2312"/>
          <w:color w:val="auto"/>
          <w:sz w:val="32"/>
          <w:szCs w:val="32"/>
          <w:highlight w:val="none"/>
        </w:rPr>
        <w:t>整改进展：</w:t>
      </w:r>
      <w:r>
        <w:rPr>
          <w:rFonts w:hint="eastAsia" w:ascii="仿宋_GB2312" w:hAnsi="仿宋_GB2312" w:eastAsia="仿宋_GB2312" w:cs="仿宋_GB2312"/>
          <w:color w:val="auto"/>
          <w:kern w:val="2"/>
          <w:sz w:val="32"/>
          <w:szCs w:val="32"/>
          <w:highlight w:val="none"/>
          <w:lang w:val="en-US" w:eastAsia="zh-CN" w:bidi="ar-SA"/>
        </w:rPr>
        <w:t>已完成整改。</w:t>
      </w:r>
    </w:p>
    <w:p w14:paraId="0730FC99">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w w:val="100"/>
          <w:sz w:val="32"/>
          <w:szCs w:val="32"/>
          <w:highlight w:val="none"/>
          <w:vertAlign w:val="baseline"/>
          <w:lang w:val="en-US" w:eastAsia="zh-CN"/>
        </w:rPr>
      </w:pPr>
      <w:bookmarkStart w:id="64" w:name="OLE_LINK19"/>
      <w:r>
        <w:rPr>
          <w:rFonts w:hint="eastAsia" w:ascii="仿宋_GB2312" w:hAnsi="仿宋_GB2312" w:eastAsia="仿宋_GB2312" w:cs="仿宋_GB2312"/>
          <w:color w:val="auto"/>
          <w:w w:val="100"/>
          <w:sz w:val="32"/>
          <w:szCs w:val="32"/>
          <w:highlight w:val="none"/>
          <w:vertAlign w:val="baseline"/>
          <w:lang w:val="en-US" w:eastAsia="zh-CN"/>
        </w:rPr>
        <w:t>1.已对排土场及三级沉淀池里的淤泥进行清理并规范处置，对排土场进行复绿。</w:t>
      </w:r>
    </w:p>
    <w:p w14:paraId="74C50B51">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w w:val="100"/>
          <w:sz w:val="32"/>
          <w:szCs w:val="32"/>
          <w:highlight w:val="none"/>
          <w:vertAlign w:val="baseline"/>
          <w:lang w:val="en-US" w:eastAsia="zh-CN"/>
        </w:rPr>
      </w:pPr>
      <w:r>
        <w:rPr>
          <w:rFonts w:hint="eastAsia" w:ascii="仿宋_GB2312" w:hAnsi="仿宋_GB2312" w:eastAsia="仿宋_GB2312" w:cs="仿宋_GB2312"/>
          <w:color w:val="auto"/>
          <w:w w:val="100"/>
          <w:sz w:val="32"/>
          <w:szCs w:val="32"/>
          <w:highlight w:val="none"/>
          <w:vertAlign w:val="baseline"/>
          <w:lang w:val="en-US" w:eastAsia="zh-CN"/>
        </w:rPr>
        <w:t>2.该企业制定《石台县徽众钙业有限公司环保管理制度》，明确规范处置淤泥等固体废物。</w:t>
      </w:r>
    </w:p>
    <w:bookmarkEnd w:id="64"/>
    <w:p w14:paraId="615E95AA">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黑体" w:hAnsi="黑体" w:eastAsia="黑体" w:cs="黑体"/>
          <w:color w:val="auto"/>
          <w:kern w:val="0"/>
          <w:sz w:val="32"/>
          <w:szCs w:val="32"/>
          <w:highlight w:val="none"/>
          <w:lang w:val="en-US" w:eastAsia="zh-CN" w:bidi="ar"/>
        </w:rPr>
      </w:pPr>
      <w:r>
        <w:rPr>
          <w:rFonts w:hint="eastAsia" w:ascii="黑体" w:hAnsi="黑体" w:eastAsia="黑体" w:cs="黑体"/>
          <w:color w:val="auto"/>
          <w:kern w:val="0"/>
          <w:sz w:val="32"/>
          <w:szCs w:val="32"/>
          <w:highlight w:val="none"/>
          <w:lang w:val="en-US" w:eastAsia="zh-CN" w:bidi="ar"/>
        </w:rPr>
        <w:t>六十五、贵池区鑫城矿业有限公司矿区环境修复项目（国能神皖池州发电有限责任公司梅街镇光伏项目）淋溶水暂存池雨天溢流。</w:t>
      </w:r>
    </w:p>
    <w:p w14:paraId="3A666CF9">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i w:val="0"/>
          <w:iCs w:val="0"/>
          <w:color w:val="auto"/>
          <w:kern w:val="0"/>
          <w:sz w:val="32"/>
          <w:szCs w:val="32"/>
          <w:highlight w:val="none"/>
          <w:u w:val="none"/>
          <w:lang w:val="en-US" w:eastAsia="zh-CN" w:bidi="ar"/>
        </w:rPr>
        <w:t>2025年底。</w:t>
      </w:r>
    </w:p>
    <w:p w14:paraId="609738CC">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楷体_GB2312" w:hAnsi="楷体_GB2312" w:eastAsia="楷体_GB2312" w:cs="楷体_GB2312"/>
          <w:color w:val="auto"/>
          <w:sz w:val="32"/>
          <w:szCs w:val="32"/>
          <w:highlight w:val="none"/>
          <w:u w:val="none" w:color="auto"/>
          <w:lang w:val="en-US" w:eastAsia="zh-CN"/>
        </w:rPr>
      </w:pPr>
      <w:r>
        <w:rPr>
          <w:rFonts w:hint="eastAsia" w:ascii="楷体_GB2312" w:hAnsi="楷体_GB2312" w:eastAsia="楷体_GB2312" w:cs="楷体_GB2312"/>
          <w:color w:val="auto"/>
          <w:sz w:val="32"/>
          <w:szCs w:val="32"/>
          <w:highlight w:val="none"/>
        </w:rPr>
        <w:t>整改进展：</w:t>
      </w:r>
      <w:r>
        <w:rPr>
          <w:rFonts w:hint="eastAsia" w:ascii="仿宋_GB2312" w:hAnsi="仿宋_GB2312" w:eastAsia="仿宋_GB2312" w:cs="仿宋_GB2312"/>
          <w:color w:val="auto"/>
          <w:kern w:val="2"/>
          <w:sz w:val="32"/>
          <w:szCs w:val="32"/>
          <w:highlight w:val="none"/>
          <w:lang w:val="en-US" w:eastAsia="zh-CN" w:bidi="ar-SA"/>
        </w:rPr>
        <w:t>已完成整改。</w:t>
      </w:r>
    </w:p>
    <w:p w14:paraId="7FDD84C6">
      <w:pPr>
        <w:keepNext w:val="0"/>
        <w:keepLines w:val="0"/>
        <w:pageBreakBefore w:val="0"/>
        <w:widowControl w:val="0"/>
        <w:kinsoku/>
        <w:wordWrap/>
        <w:overflowPunct w:val="0"/>
        <w:topLinePunct w:val="0"/>
        <w:autoSpaceDE/>
        <w:autoSpaceDN/>
        <w:bidi w:val="0"/>
        <w:adjustRightInd/>
        <w:snapToGrid/>
        <w:spacing w:line="580" w:lineRule="exact"/>
        <w:ind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1.</w:t>
      </w:r>
      <w:r>
        <w:rPr>
          <w:rFonts w:hint="default" w:ascii="仿宋_GB2312" w:hAnsi="仿宋_GB2312" w:eastAsia="仿宋_GB2312" w:cs="仿宋_GB2312"/>
          <w:i w:val="0"/>
          <w:iCs w:val="0"/>
          <w:color w:val="auto"/>
          <w:kern w:val="0"/>
          <w:sz w:val="32"/>
          <w:szCs w:val="32"/>
          <w:highlight w:val="none"/>
          <w:u w:val="none"/>
          <w:lang w:val="en-US" w:eastAsia="zh-CN" w:bidi="ar"/>
        </w:rPr>
        <w:t>贵池区鑫城矿业有限公司</w:t>
      </w:r>
      <w:r>
        <w:rPr>
          <w:rFonts w:hint="eastAsia" w:ascii="仿宋_GB2312" w:hAnsi="仿宋_GB2312" w:eastAsia="仿宋_GB2312" w:cs="仿宋_GB2312"/>
          <w:i w:val="0"/>
          <w:iCs w:val="0"/>
          <w:color w:val="auto"/>
          <w:kern w:val="0"/>
          <w:sz w:val="32"/>
          <w:szCs w:val="32"/>
          <w:highlight w:val="none"/>
          <w:u w:val="none"/>
          <w:lang w:val="en-US" w:eastAsia="zh-CN" w:bidi="ar"/>
        </w:rPr>
        <w:t>已缴纳生态赔偿金。</w:t>
      </w:r>
    </w:p>
    <w:p w14:paraId="153DF679">
      <w:pPr>
        <w:keepNext w:val="0"/>
        <w:keepLines w:val="0"/>
        <w:pageBreakBefore w:val="0"/>
        <w:widowControl w:val="0"/>
        <w:kinsoku/>
        <w:wordWrap/>
        <w:overflowPunct w:val="0"/>
        <w:topLinePunct w:val="0"/>
        <w:autoSpaceDE/>
        <w:autoSpaceDN/>
        <w:bidi w:val="0"/>
        <w:adjustRightInd/>
        <w:snapToGrid/>
        <w:spacing w:line="580" w:lineRule="exact"/>
        <w:ind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2.贵池区鑫城矿业有限公司已完成1#采场破损沟渠修复，2025年8月13日贵池区梅街镇委托第三方机构对水质开展检测，结果满足《污水综合排放标准》GB 8978-1996排放标准限值要求。</w:t>
      </w:r>
    </w:p>
    <w:p w14:paraId="7D98B10A">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黑体" w:hAnsi="黑体" w:eastAsia="黑体" w:cs="黑体"/>
          <w:color w:val="auto"/>
          <w:kern w:val="0"/>
          <w:sz w:val="32"/>
          <w:szCs w:val="32"/>
          <w:highlight w:val="none"/>
          <w:lang w:val="en-US" w:eastAsia="zh-CN" w:bidi="ar"/>
        </w:rPr>
      </w:pPr>
      <w:bookmarkStart w:id="65" w:name="OLE_LINK52"/>
      <w:r>
        <w:rPr>
          <w:rFonts w:hint="eastAsia" w:ascii="黑体" w:hAnsi="黑体" w:eastAsia="黑体" w:cs="黑体"/>
          <w:color w:val="auto"/>
          <w:kern w:val="0"/>
          <w:sz w:val="32"/>
          <w:szCs w:val="32"/>
          <w:highlight w:val="none"/>
          <w:lang w:val="en-US" w:eastAsia="zh-CN" w:bidi="ar"/>
        </w:rPr>
        <w:t>六十六、贵池区丰收圩、西湖、马料湖，东至县黄泥湖、小七里湖等重点湖泊均存在筑坝拦汊、圈圩养殖现象。</w:t>
      </w:r>
    </w:p>
    <w:p w14:paraId="5ECDE733">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i w:val="0"/>
          <w:iCs w:val="0"/>
          <w:color w:val="auto"/>
          <w:kern w:val="0"/>
          <w:sz w:val="32"/>
          <w:szCs w:val="32"/>
          <w:highlight w:val="none"/>
          <w:u w:val="none"/>
          <w:lang w:val="en-US" w:eastAsia="zh-CN" w:bidi="ar"/>
        </w:rPr>
        <w:t>2026年底。</w:t>
      </w:r>
    </w:p>
    <w:p w14:paraId="65B6AA65">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楷体_GB2312" w:hAnsi="楷体_GB2312" w:eastAsia="楷体_GB2312" w:cs="楷体_GB2312"/>
          <w:color w:val="auto"/>
          <w:sz w:val="32"/>
          <w:szCs w:val="32"/>
          <w:highlight w:val="none"/>
          <w:u w:val="none" w:color="auto"/>
          <w:lang w:val="en-US" w:eastAsia="zh-CN"/>
        </w:rPr>
      </w:pPr>
      <w:r>
        <w:rPr>
          <w:rFonts w:hint="eastAsia" w:ascii="楷体_GB2312" w:hAnsi="楷体_GB2312" w:eastAsia="楷体_GB2312" w:cs="楷体_GB2312"/>
          <w:color w:val="auto"/>
          <w:sz w:val="32"/>
          <w:szCs w:val="32"/>
          <w:highlight w:val="none"/>
        </w:rPr>
        <w:t>整改进展：</w:t>
      </w:r>
      <w:bookmarkStart w:id="66" w:name="OLE_LINK28"/>
      <w:r>
        <w:rPr>
          <w:rFonts w:hint="eastAsia" w:ascii="仿宋_GB2312" w:hAnsi="仿宋_GB2312" w:eastAsia="仿宋_GB2312" w:cs="仿宋_GB2312"/>
          <w:color w:val="auto"/>
          <w:kern w:val="2"/>
          <w:sz w:val="32"/>
          <w:szCs w:val="32"/>
          <w:highlight w:val="none"/>
          <w:lang w:val="en-US" w:eastAsia="zh-CN" w:bidi="ar-SA"/>
        </w:rPr>
        <w:t>已完成阶段性目标，继续推进。</w:t>
      </w:r>
    </w:p>
    <w:bookmarkEnd w:id="66"/>
    <w:p w14:paraId="4DE28AF9">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1.贵池区、东至县已分别建立筑坝拦汊问题清单台账。</w:t>
      </w:r>
    </w:p>
    <w:p w14:paraId="4E2DB750">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2.贵池区、东至县分别委托第三方机构编制湖泊筑坝拦汊“一湖一策”整治方案并组织开展专家审查，目前正在完善报批手续。</w:t>
      </w:r>
    </w:p>
    <w:bookmarkEnd w:id="65"/>
    <w:p w14:paraId="01B4631E">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黑体" w:hAnsi="黑体" w:eastAsia="黑体" w:cs="黑体"/>
          <w:color w:val="auto"/>
          <w:kern w:val="0"/>
          <w:sz w:val="32"/>
          <w:szCs w:val="32"/>
          <w:highlight w:val="none"/>
          <w:lang w:val="en-US" w:eastAsia="zh-CN" w:bidi="ar"/>
        </w:rPr>
      </w:pPr>
      <w:r>
        <w:rPr>
          <w:rFonts w:hint="eastAsia" w:ascii="黑体" w:hAnsi="黑体" w:eastAsia="黑体" w:cs="黑体"/>
          <w:color w:val="auto"/>
          <w:kern w:val="0"/>
          <w:sz w:val="32"/>
          <w:szCs w:val="32"/>
          <w:highlight w:val="none"/>
          <w:lang w:val="en-US" w:eastAsia="zh-CN" w:bidi="ar"/>
        </w:rPr>
        <w:t>六十七、《安徽省人民政府办公厅关于加强风景名胜区规划建设管理工作的意见》规定，禁止在风景名胜区内建设太阳能发电设施等破坏景观、植被和地形地貌的活动。安徽五洋新能源发电有限公司二期项目违规占用齐山—平天湖国家级风景名胜区内65亩土地建设光伏发电项目。</w:t>
      </w:r>
    </w:p>
    <w:p w14:paraId="316276DB">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i w:val="0"/>
          <w:iCs w:val="0"/>
          <w:color w:val="auto"/>
          <w:kern w:val="0"/>
          <w:sz w:val="32"/>
          <w:szCs w:val="32"/>
          <w:highlight w:val="none"/>
          <w:u w:val="none"/>
          <w:lang w:val="en-US" w:eastAsia="zh-CN" w:bidi="ar"/>
        </w:rPr>
        <w:t>2025年6月底。</w:t>
      </w:r>
    </w:p>
    <w:p w14:paraId="442C805C">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楷体_GB2312" w:hAnsi="楷体_GB2312" w:eastAsia="楷体_GB2312" w:cs="楷体_GB2312"/>
          <w:color w:val="auto"/>
          <w:sz w:val="32"/>
          <w:szCs w:val="32"/>
          <w:highlight w:val="none"/>
          <w:u w:val="none" w:color="auto"/>
          <w:lang w:val="en-US" w:eastAsia="zh-CN"/>
        </w:rPr>
      </w:pPr>
      <w:r>
        <w:rPr>
          <w:rFonts w:hint="eastAsia" w:ascii="楷体_GB2312" w:hAnsi="楷体_GB2312" w:eastAsia="楷体_GB2312" w:cs="楷体_GB2312"/>
          <w:color w:val="auto"/>
          <w:sz w:val="32"/>
          <w:szCs w:val="32"/>
          <w:highlight w:val="none"/>
        </w:rPr>
        <w:t>整改进展：</w:t>
      </w:r>
      <w:r>
        <w:rPr>
          <w:rFonts w:hint="eastAsia" w:ascii="仿宋_GB2312" w:hAnsi="仿宋_GB2312" w:eastAsia="仿宋_GB2312" w:cs="仿宋_GB2312"/>
          <w:color w:val="auto"/>
          <w:kern w:val="2"/>
          <w:sz w:val="32"/>
          <w:szCs w:val="32"/>
          <w:highlight w:val="none"/>
          <w:lang w:val="en-US" w:eastAsia="zh-CN" w:bidi="ar-SA"/>
        </w:rPr>
        <w:t>已完成整改。</w:t>
      </w:r>
    </w:p>
    <w:p w14:paraId="25907906">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1.安徽五洋新能源发电有限公司二期项目设施场地已恢复原状。</w:t>
      </w:r>
    </w:p>
    <w:p w14:paraId="5378E727">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default"/>
          <w:color w:val="auto"/>
          <w:sz w:val="32"/>
          <w:szCs w:val="32"/>
          <w:highlight w:val="none"/>
          <w:lang w:val="en-US" w:eastAsia="zh-CN"/>
        </w:rPr>
      </w:pPr>
      <w:r>
        <w:rPr>
          <w:rFonts w:hint="eastAsia" w:ascii="仿宋_GB2312" w:hAnsi="仿宋_GB2312" w:eastAsia="仿宋_GB2312" w:cs="仿宋_GB2312"/>
          <w:i w:val="0"/>
          <w:iCs w:val="0"/>
          <w:color w:val="auto"/>
          <w:kern w:val="0"/>
          <w:sz w:val="32"/>
          <w:szCs w:val="32"/>
          <w:highlight w:val="none"/>
          <w:u w:val="none"/>
          <w:lang w:val="en-US" w:eastAsia="zh-CN" w:bidi="ar"/>
        </w:rPr>
        <w:t>2.强化日常巡查，发现问题及时整改到位。</w:t>
      </w:r>
    </w:p>
    <w:p w14:paraId="0E959512">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黑体" w:hAnsi="黑体" w:eastAsia="黑体" w:cs="黑体"/>
          <w:color w:val="auto"/>
          <w:kern w:val="0"/>
          <w:sz w:val="32"/>
          <w:szCs w:val="32"/>
          <w:highlight w:val="none"/>
          <w:lang w:val="en-US" w:eastAsia="zh-CN" w:bidi="ar"/>
        </w:rPr>
      </w:pPr>
      <w:r>
        <w:rPr>
          <w:rFonts w:hint="eastAsia" w:ascii="黑体" w:hAnsi="黑体" w:eastAsia="黑体" w:cs="黑体"/>
          <w:color w:val="auto"/>
          <w:kern w:val="0"/>
          <w:sz w:val="32"/>
          <w:szCs w:val="32"/>
          <w:highlight w:val="none"/>
          <w:lang w:val="en-US" w:eastAsia="zh-CN" w:bidi="ar"/>
        </w:rPr>
        <w:t>六十八、农业农村领域污染治理仍有短板。农村生活污水治理不到位。全市42个乡镇政府驻地生活污水处理设施中，26个进水化学需氧量和氨氮浓度偏低。东至县泥溪镇、花园乡、香隅镇等乡镇污水处理厂进水化学需氧量月均浓度过低。部分农村生活污水处理设施运行不正常。东至县尧渡镇尚合村慢庄污水处理站和贵池区涓桥镇联合村污水处理设施停运。石台县矶滩乡汪村，东至县青山乡东阳村、泥溪镇官村等8个农村生活污水处理设施进水浓度过低。</w:t>
      </w:r>
    </w:p>
    <w:p w14:paraId="36506B40">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i w:val="0"/>
          <w:iCs w:val="0"/>
          <w:color w:val="auto"/>
          <w:kern w:val="0"/>
          <w:sz w:val="32"/>
          <w:szCs w:val="32"/>
          <w:highlight w:val="none"/>
          <w:u w:val="none"/>
          <w:lang w:val="en-US" w:eastAsia="zh-CN" w:bidi="ar"/>
        </w:rPr>
        <w:t>2025年底。</w:t>
      </w:r>
    </w:p>
    <w:p w14:paraId="5A3B4076">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楷体_GB2312" w:hAnsi="楷体_GB2312" w:eastAsia="楷体_GB2312" w:cs="楷体_GB2312"/>
          <w:color w:val="auto"/>
          <w:sz w:val="32"/>
          <w:szCs w:val="32"/>
          <w:highlight w:val="none"/>
          <w:u w:val="none" w:color="auto"/>
          <w:lang w:val="en-US" w:eastAsia="zh-CN"/>
        </w:rPr>
      </w:pPr>
      <w:r>
        <w:rPr>
          <w:rFonts w:hint="eastAsia" w:ascii="楷体_GB2312" w:hAnsi="楷体_GB2312" w:eastAsia="楷体_GB2312" w:cs="楷体_GB2312"/>
          <w:color w:val="auto"/>
          <w:sz w:val="32"/>
          <w:szCs w:val="32"/>
          <w:highlight w:val="none"/>
        </w:rPr>
        <w:t>整改进展：</w:t>
      </w:r>
      <w:r>
        <w:rPr>
          <w:rFonts w:hint="eastAsia" w:ascii="仿宋_GB2312" w:hAnsi="仿宋_GB2312" w:eastAsia="仿宋_GB2312" w:cs="仿宋_GB2312"/>
          <w:color w:val="auto"/>
          <w:kern w:val="2"/>
          <w:sz w:val="32"/>
          <w:szCs w:val="32"/>
          <w:highlight w:val="none"/>
          <w:lang w:val="en-US" w:eastAsia="zh-CN" w:bidi="ar-SA"/>
        </w:rPr>
        <w:t>已完成整改。</w:t>
      </w:r>
    </w:p>
    <w:p w14:paraId="376696AA">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bookmarkStart w:id="67" w:name="OLE_LINK38"/>
      <w:r>
        <w:rPr>
          <w:rFonts w:hint="eastAsia" w:ascii="仿宋_GB2312" w:hAnsi="仿宋_GB2312" w:eastAsia="仿宋_GB2312" w:cs="仿宋_GB2312"/>
          <w:i w:val="0"/>
          <w:iCs w:val="0"/>
          <w:color w:val="auto"/>
          <w:kern w:val="0"/>
          <w:sz w:val="32"/>
          <w:szCs w:val="32"/>
          <w:highlight w:val="none"/>
          <w:u w:val="none"/>
          <w:lang w:val="en-US" w:eastAsia="zh-CN" w:bidi="ar"/>
        </w:rPr>
        <w:t>1.按照《安徽省农村生活污水处理设施运维管理办法（试行）》，各县区明确县级农村生活污水主管部门，制定印发运维管理制度。</w:t>
      </w:r>
    </w:p>
    <w:p w14:paraId="6E450DFD">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2.印发《关于开展集中式农村生活污水处理设施专项整治交叉互查工作的通知》，组织开展全市集中式农村生活污水处理设施交叉互查工作。</w:t>
      </w:r>
    </w:p>
    <w:p w14:paraId="33A9C027">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3.各县区完成乡镇政府驻地生活污水处理设施和东至县青山乡东阳村、泥溪镇官村等8个农村生活污水处理设施管网错节漏接、渗漏等问题排查整治，提升进水浓度，根据检测报告，进水浓度已达到要求。</w:t>
      </w:r>
    </w:p>
    <w:p w14:paraId="7CA8EE94">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4.东至县尧渡镇尚合村慢庄污水处理站已退出，贵池区涓桥镇联合村农村污水处理设施完成整改。</w:t>
      </w:r>
    </w:p>
    <w:bookmarkEnd w:id="67"/>
    <w:p w14:paraId="432798E0">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黑体" w:hAnsi="黑体" w:eastAsia="黑体" w:cs="黑体"/>
          <w:color w:val="auto"/>
          <w:kern w:val="0"/>
          <w:sz w:val="32"/>
          <w:szCs w:val="32"/>
          <w:highlight w:val="none"/>
          <w:lang w:val="en-US" w:eastAsia="zh-CN" w:bidi="ar"/>
        </w:rPr>
      </w:pPr>
      <w:r>
        <w:rPr>
          <w:rFonts w:hint="eastAsia" w:ascii="黑体" w:hAnsi="黑体" w:eastAsia="黑体" w:cs="黑体"/>
          <w:color w:val="auto"/>
          <w:kern w:val="0"/>
          <w:sz w:val="32"/>
          <w:szCs w:val="32"/>
          <w:highlight w:val="none"/>
          <w:lang w:val="en-US" w:eastAsia="zh-CN" w:bidi="ar"/>
        </w:rPr>
        <w:t>六十九、珍珠养殖面源污染管理缺失。督察组抽查5家养殖场发现，青阳县振清水产养殖有限公司、黄某发珍珠养殖、董某家珍珠养殖等3家养殖场违规施用粪肥，风险隐患突出。</w:t>
      </w:r>
    </w:p>
    <w:p w14:paraId="610F492C">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i w:val="0"/>
          <w:iCs w:val="0"/>
          <w:color w:val="auto"/>
          <w:kern w:val="0"/>
          <w:sz w:val="32"/>
          <w:szCs w:val="32"/>
          <w:highlight w:val="none"/>
          <w:u w:val="none"/>
          <w:lang w:val="en-US" w:eastAsia="zh-CN" w:bidi="ar"/>
        </w:rPr>
        <w:t>2025年6月底。</w:t>
      </w:r>
    </w:p>
    <w:p w14:paraId="278C3564">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楷体_GB2312" w:hAnsi="楷体_GB2312" w:eastAsia="楷体_GB2312" w:cs="楷体_GB2312"/>
          <w:color w:val="auto"/>
          <w:sz w:val="32"/>
          <w:szCs w:val="32"/>
          <w:highlight w:val="none"/>
          <w:u w:val="none" w:color="auto"/>
          <w:lang w:val="en-US" w:eastAsia="zh-CN"/>
        </w:rPr>
      </w:pPr>
      <w:r>
        <w:rPr>
          <w:rFonts w:hint="eastAsia" w:ascii="楷体_GB2312" w:hAnsi="楷体_GB2312" w:eastAsia="楷体_GB2312" w:cs="楷体_GB2312"/>
          <w:color w:val="auto"/>
          <w:sz w:val="32"/>
          <w:szCs w:val="32"/>
          <w:highlight w:val="none"/>
        </w:rPr>
        <w:t>整改进展：</w:t>
      </w:r>
      <w:r>
        <w:rPr>
          <w:rFonts w:hint="eastAsia" w:ascii="仿宋_GB2312" w:hAnsi="仿宋_GB2312" w:eastAsia="仿宋_GB2312" w:cs="仿宋_GB2312"/>
          <w:color w:val="auto"/>
          <w:kern w:val="2"/>
          <w:sz w:val="32"/>
          <w:szCs w:val="32"/>
          <w:highlight w:val="none"/>
          <w:lang w:val="en-US" w:eastAsia="zh-CN" w:bidi="ar-SA"/>
        </w:rPr>
        <w:t>已完成整改。</w:t>
      </w:r>
    </w:p>
    <w:p w14:paraId="51FD401E">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1.青阳县振清水产养殖有限公司、黄某发珍珠养殖、董某家珍珠养殖等3家养殖场已停止使用粪肥，对剩余粪肥进行清理并妥善处置。</w:t>
      </w:r>
    </w:p>
    <w:p w14:paraId="6C31C688">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2.制定《青阳县2024年珍珠蚌违规养殖专项整治工作方案》，对全县18个珍珠蚌养殖点位进行排查，督促养殖主体加强环保管理工作。</w:t>
      </w:r>
    </w:p>
    <w:p w14:paraId="495F4E3A">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黑体" w:hAnsi="黑体" w:eastAsia="黑体" w:cs="黑体"/>
          <w:color w:val="auto"/>
          <w:kern w:val="0"/>
          <w:sz w:val="32"/>
          <w:szCs w:val="32"/>
          <w:highlight w:val="none"/>
          <w:lang w:val="en-US" w:eastAsia="zh-CN" w:bidi="ar"/>
        </w:rPr>
      </w:pPr>
      <w:r>
        <w:rPr>
          <w:rFonts w:hint="eastAsia" w:ascii="黑体" w:hAnsi="黑体" w:eastAsia="黑体" w:cs="黑体"/>
          <w:color w:val="auto"/>
          <w:kern w:val="0"/>
          <w:sz w:val="32"/>
          <w:szCs w:val="32"/>
          <w:highlight w:val="none"/>
          <w:lang w:val="en-US" w:eastAsia="zh-CN" w:bidi="ar"/>
        </w:rPr>
        <w:t>七十、农膜回收落实不到位。贵池区乌沙镇红庄村蔬菜产业基地废弃农膜堆放于田间地头，农膜回收点基本未回收废弃农膜。东至县东流镇红叶村未设置回收点，村内西瓜种植大棚旁堆放农用薄膜。</w:t>
      </w:r>
    </w:p>
    <w:p w14:paraId="6D96CA78">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i w:val="0"/>
          <w:iCs w:val="0"/>
          <w:color w:val="auto"/>
          <w:kern w:val="0"/>
          <w:sz w:val="32"/>
          <w:szCs w:val="32"/>
          <w:highlight w:val="none"/>
          <w:u w:val="none"/>
          <w:lang w:val="en-US" w:eastAsia="zh-CN" w:bidi="ar"/>
        </w:rPr>
        <w:t>2025年6月底。</w:t>
      </w:r>
    </w:p>
    <w:p w14:paraId="0D7E634D">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楷体_GB2312" w:hAnsi="楷体_GB2312" w:eastAsia="楷体_GB2312" w:cs="楷体_GB2312"/>
          <w:color w:val="auto"/>
          <w:sz w:val="32"/>
          <w:szCs w:val="32"/>
          <w:highlight w:val="none"/>
          <w:u w:val="none" w:color="auto"/>
          <w:lang w:val="en-US" w:eastAsia="zh-CN"/>
        </w:rPr>
      </w:pPr>
      <w:r>
        <w:rPr>
          <w:rFonts w:hint="eastAsia" w:ascii="楷体_GB2312" w:hAnsi="楷体_GB2312" w:eastAsia="楷体_GB2312" w:cs="楷体_GB2312"/>
          <w:color w:val="auto"/>
          <w:sz w:val="32"/>
          <w:szCs w:val="32"/>
          <w:highlight w:val="none"/>
        </w:rPr>
        <w:t>整改进展：</w:t>
      </w:r>
      <w:r>
        <w:rPr>
          <w:rFonts w:hint="eastAsia" w:ascii="仿宋_GB2312" w:hAnsi="仿宋_GB2312" w:eastAsia="仿宋_GB2312" w:cs="仿宋_GB2312"/>
          <w:color w:val="auto"/>
          <w:kern w:val="2"/>
          <w:sz w:val="32"/>
          <w:szCs w:val="32"/>
          <w:highlight w:val="none"/>
          <w:lang w:val="en-US" w:eastAsia="zh-CN" w:bidi="ar-SA"/>
        </w:rPr>
        <w:t>已完成整改。</w:t>
      </w:r>
    </w:p>
    <w:p w14:paraId="65BD99B4">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1.贵池区废弃农膜回收企业优农帮公司已对乌沙镇红庄村堆放于田间地头的废弃农膜进行回收处置。</w:t>
      </w:r>
    </w:p>
    <w:p w14:paraId="558AA51F">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2.东流镇红叶村废弃农膜已清理并规范处置到位。</w:t>
      </w:r>
    </w:p>
    <w:p w14:paraId="6359F329">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3.贵池区和东至县已建立健全并落实农膜及农药包装废弃物收集制度。</w:t>
      </w:r>
    </w:p>
    <w:p w14:paraId="46E58108">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黑体" w:hAnsi="黑体" w:eastAsia="黑体" w:cs="黑体"/>
          <w:color w:val="auto"/>
          <w:kern w:val="0"/>
          <w:sz w:val="32"/>
          <w:szCs w:val="32"/>
          <w:highlight w:val="none"/>
          <w:lang w:val="en-US" w:eastAsia="zh-CN" w:bidi="ar"/>
        </w:rPr>
      </w:pPr>
      <w:r>
        <w:rPr>
          <w:rFonts w:hint="eastAsia" w:ascii="黑体" w:hAnsi="黑体" w:eastAsia="黑体" w:cs="黑体"/>
          <w:color w:val="auto"/>
          <w:kern w:val="0"/>
          <w:sz w:val="32"/>
          <w:szCs w:val="32"/>
          <w:highlight w:val="none"/>
          <w:lang w:val="en-US" w:eastAsia="zh-CN" w:bidi="ar"/>
        </w:rPr>
        <w:t>七十一、排污许可管理要求未落实。安徽省康洛赛德新材料科技有限公司、安徽新河竹业有限公司等4家企业未按要求开展自行监测；池州起帆电缆有限公司增加废气排放口，安徽新河竹业有限公司擅自新增11台拉丝机装备，均未及时变更排污许可证。</w:t>
      </w:r>
    </w:p>
    <w:p w14:paraId="422E9200">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bookmarkStart w:id="68" w:name="OLE_LINK29"/>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i w:val="0"/>
          <w:iCs w:val="0"/>
          <w:color w:val="auto"/>
          <w:kern w:val="0"/>
          <w:sz w:val="32"/>
          <w:szCs w:val="32"/>
          <w:highlight w:val="none"/>
          <w:u w:val="none"/>
          <w:lang w:val="en-US" w:eastAsia="zh-CN" w:bidi="ar"/>
        </w:rPr>
        <w:t>2025年6月底。</w:t>
      </w:r>
    </w:p>
    <w:p w14:paraId="6AFD2276">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楷体_GB2312" w:hAnsi="楷体_GB2312" w:eastAsia="楷体_GB2312" w:cs="楷体_GB2312"/>
          <w:color w:val="auto"/>
          <w:sz w:val="32"/>
          <w:szCs w:val="32"/>
          <w:highlight w:val="none"/>
          <w:u w:val="none" w:color="auto"/>
          <w:lang w:val="en-US" w:eastAsia="zh-CN"/>
        </w:rPr>
      </w:pPr>
      <w:r>
        <w:rPr>
          <w:rFonts w:hint="eastAsia" w:ascii="楷体_GB2312" w:hAnsi="楷体_GB2312" w:eastAsia="楷体_GB2312" w:cs="楷体_GB2312"/>
          <w:color w:val="auto"/>
          <w:sz w:val="32"/>
          <w:szCs w:val="32"/>
          <w:highlight w:val="none"/>
        </w:rPr>
        <w:t>整改进展：</w:t>
      </w:r>
      <w:r>
        <w:rPr>
          <w:rFonts w:hint="eastAsia" w:ascii="仿宋_GB2312" w:hAnsi="仿宋_GB2312" w:eastAsia="仿宋_GB2312" w:cs="仿宋_GB2312"/>
          <w:color w:val="auto"/>
          <w:kern w:val="2"/>
          <w:sz w:val="32"/>
          <w:szCs w:val="32"/>
          <w:highlight w:val="none"/>
          <w:lang w:val="en-US" w:eastAsia="zh-CN" w:bidi="ar-SA"/>
        </w:rPr>
        <w:t>已完成整改。</w:t>
      </w:r>
    </w:p>
    <w:bookmarkEnd w:id="68"/>
    <w:p w14:paraId="5121042C">
      <w:pPr>
        <w:keepNext w:val="0"/>
        <w:keepLines w:val="0"/>
        <w:pageBreakBefore w:val="0"/>
        <w:widowControl w:val="0"/>
        <w:kinsoku/>
        <w:wordWrap/>
        <w:overflowPunct w:val="0"/>
        <w:topLinePunct w:val="0"/>
        <w:bidi w:val="0"/>
        <w:spacing w:line="580" w:lineRule="exact"/>
        <w:ind w:firstLine="640" w:firstLineChars="200"/>
        <w:jc w:val="both"/>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楷体_GB2312" w:hAnsi="楷体_GB2312" w:eastAsia="楷体_GB2312" w:cs="楷体_GB2312"/>
          <w:color w:val="auto"/>
          <w:sz w:val="32"/>
          <w:szCs w:val="32"/>
          <w:highlight w:val="none"/>
          <w:u w:val="none" w:color="auto"/>
          <w:lang w:val="en-US" w:eastAsia="zh-CN"/>
        </w:rPr>
        <w:t>贵池区：</w:t>
      </w:r>
      <w:r>
        <w:rPr>
          <w:rFonts w:hint="eastAsia" w:ascii="仿宋_GB2312" w:hAnsi="仿宋_GB2312" w:eastAsia="仿宋_GB2312" w:cs="仿宋_GB2312"/>
          <w:i w:val="0"/>
          <w:iCs w:val="0"/>
          <w:color w:val="auto"/>
          <w:kern w:val="0"/>
          <w:sz w:val="32"/>
          <w:szCs w:val="32"/>
          <w:highlight w:val="none"/>
          <w:u w:val="none"/>
          <w:lang w:val="en-US" w:eastAsia="zh-CN" w:bidi="ar"/>
        </w:rPr>
        <w:t>1.池州起帆电缆有限公司已依法依规变更排污许可证，新增排放口已纳入新的排污许可证管理，并每月按时开展自行监测。</w:t>
      </w:r>
    </w:p>
    <w:p w14:paraId="3F3B9A44">
      <w:pPr>
        <w:keepNext w:val="0"/>
        <w:keepLines w:val="0"/>
        <w:pageBreakBefore w:val="0"/>
        <w:widowControl w:val="0"/>
        <w:kinsoku/>
        <w:wordWrap/>
        <w:overflowPunct w:val="0"/>
        <w:topLinePunct w:val="0"/>
        <w:bidi w:val="0"/>
        <w:spacing w:line="580" w:lineRule="exact"/>
        <w:ind w:firstLine="640" w:firstLineChars="200"/>
        <w:jc w:val="both"/>
        <w:outlineLvl w:val="9"/>
        <w:rPr>
          <w:rFonts w:hint="default"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2.已开展排污许可证监管专项执法行动，持续提升排污许可证后监管能力。</w:t>
      </w:r>
    </w:p>
    <w:p w14:paraId="76A970DB">
      <w:pPr>
        <w:keepNext w:val="0"/>
        <w:keepLines w:val="0"/>
        <w:pageBreakBefore w:val="0"/>
        <w:widowControl w:val="0"/>
        <w:kinsoku/>
        <w:wordWrap/>
        <w:overflowPunct w:val="0"/>
        <w:topLinePunct w:val="0"/>
        <w:bidi w:val="0"/>
        <w:spacing w:line="580" w:lineRule="exact"/>
        <w:ind w:firstLine="640" w:firstLineChars="200"/>
        <w:jc w:val="both"/>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楷体_GB2312" w:hAnsi="楷体_GB2312" w:eastAsia="楷体_GB2312" w:cs="楷体_GB2312"/>
          <w:color w:val="auto"/>
          <w:sz w:val="32"/>
          <w:szCs w:val="32"/>
          <w:highlight w:val="none"/>
          <w:u w:val="none" w:color="auto"/>
          <w:lang w:val="en-US" w:eastAsia="zh-CN"/>
        </w:rPr>
        <w:t>青阳县：</w:t>
      </w:r>
      <w:r>
        <w:rPr>
          <w:rFonts w:hint="eastAsia" w:ascii="仿宋_GB2312" w:hAnsi="仿宋_GB2312" w:eastAsia="仿宋_GB2312" w:cs="仿宋_GB2312"/>
          <w:i w:val="0"/>
          <w:iCs w:val="0"/>
          <w:color w:val="auto"/>
          <w:kern w:val="0"/>
          <w:sz w:val="32"/>
          <w:szCs w:val="32"/>
          <w:highlight w:val="none"/>
          <w:u w:val="none"/>
          <w:lang w:val="en-US" w:eastAsia="zh-CN" w:bidi="ar"/>
        </w:rPr>
        <w:t>1.安徽省康洛赛德新材料科技有限公司已于2024年下半年对DA004号排气筒进行检测，检测结果为合格。后续按照企业排污许可管理要求加强监管，督促企业定期开展自行监测。</w:t>
      </w:r>
    </w:p>
    <w:p w14:paraId="28B8650E">
      <w:pPr>
        <w:keepNext w:val="0"/>
        <w:keepLines w:val="0"/>
        <w:pageBreakBefore w:val="0"/>
        <w:widowControl w:val="0"/>
        <w:kinsoku/>
        <w:wordWrap/>
        <w:overflowPunct w:val="0"/>
        <w:topLinePunct w:val="0"/>
        <w:bidi w:val="0"/>
        <w:spacing w:line="580" w:lineRule="exact"/>
        <w:ind w:firstLine="640" w:firstLineChars="200"/>
        <w:jc w:val="both"/>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2.安徽新河竹业有限公司已注销排污许可证，对拉丝设备予以拆除到位，已完成整改。</w:t>
      </w:r>
    </w:p>
    <w:p w14:paraId="7E6D0C61">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3.青阳县生态环境部门结合年度生态环境执法工作计划要求，常态化开展排污许可日常执法检查，强化排污许可证后监管。</w:t>
      </w:r>
    </w:p>
    <w:p w14:paraId="5B9A1BF8">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黑体" w:hAnsi="黑体" w:eastAsia="黑体" w:cs="黑体"/>
          <w:color w:val="auto"/>
          <w:kern w:val="0"/>
          <w:sz w:val="32"/>
          <w:szCs w:val="32"/>
          <w:highlight w:val="none"/>
          <w:lang w:val="en-US" w:eastAsia="zh-CN" w:bidi="ar"/>
        </w:rPr>
      </w:pPr>
      <w:r>
        <w:rPr>
          <w:rFonts w:hint="eastAsia" w:ascii="黑体" w:hAnsi="黑体" w:eastAsia="黑体" w:cs="黑体"/>
          <w:color w:val="auto"/>
          <w:kern w:val="0"/>
          <w:sz w:val="32"/>
          <w:szCs w:val="32"/>
          <w:highlight w:val="none"/>
          <w:lang w:val="en-US" w:eastAsia="zh-CN" w:bidi="ar"/>
        </w:rPr>
        <w:t>七十二、部分企业违法排污。江南产业集中区正源产业园品毅纺织科技有限公司部分生产废水直接排放至厂区。</w:t>
      </w:r>
    </w:p>
    <w:p w14:paraId="4EBC42BE">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i w:val="0"/>
          <w:iCs w:val="0"/>
          <w:color w:val="auto"/>
          <w:kern w:val="0"/>
          <w:sz w:val="32"/>
          <w:szCs w:val="32"/>
          <w:highlight w:val="none"/>
          <w:u w:val="none"/>
          <w:lang w:val="en-US" w:eastAsia="zh-CN" w:bidi="ar"/>
        </w:rPr>
        <w:t>2025年3月底。</w:t>
      </w:r>
    </w:p>
    <w:p w14:paraId="52A166BA">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楷体_GB2312" w:hAnsi="楷体_GB2312" w:eastAsia="楷体_GB2312" w:cs="楷体_GB2312"/>
          <w:color w:val="auto"/>
          <w:sz w:val="32"/>
          <w:szCs w:val="32"/>
          <w:highlight w:val="none"/>
          <w:u w:val="none" w:color="auto"/>
          <w:lang w:val="en-US" w:eastAsia="zh-CN"/>
        </w:rPr>
      </w:pPr>
      <w:r>
        <w:rPr>
          <w:rFonts w:hint="eastAsia" w:ascii="楷体_GB2312" w:hAnsi="楷体_GB2312" w:eastAsia="楷体_GB2312" w:cs="楷体_GB2312"/>
          <w:color w:val="auto"/>
          <w:sz w:val="32"/>
          <w:szCs w:val="32"/>
          <w:highlight w:val="none"/>
        </w:rPr>
        <w:t>整改进展：</w:t>
      </w:r>
      <w:r>
        <w:rPr>
          <w:rFonts w:hint="eastAsia" w:ascii="仿宋_GB2312" w:hAnsi="仿宋_GB2312" w:eastAsia="仿宋_GB2312" w:cs="仿宋_GB2312"/>
          <w:color w:val="auto"/>
          <w:kern w:val="2"/>
          <w:sz w:val="32"/>
          <w:szCs w:val="32"/>
          <w:highlight w:val="none"/>
          <w:lang w:val="en-US" w:eastAsia="zh-CN" w:bidi="ar-SA"/>
        </w:rPr>
        <w:t>已完成整改。</w:t>
      </w:r>
    </w:p>
    <w:p w14:paraId="79618154">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品毅纺织科技有限公司已搬迁生产设备。已完成对厂区周边环境整治。</w:t>
      </w:r>
    </w:p>
    <w:p w14:paraId="7210BC9D">
      <w:pPr>
        <w:pStyle w:val="9"/>
        <w:keepNext w:val="0"/>
        <w:keepLines w:val="0"/>
        <w:pageBreakBefore w:val="0"/>
        <w:widowControl w:val="0"/>
        <w:numPr>
          <w:ilvl w:val="0"/>
          <w:numId w:val="0"/>
        </w:numPr>
        <w:kinsoku/>
        <w:wordWrap/>
        <w:overflowPunct w:val="0"/>
        <w:topLinePunct w:val="0"/>
        <w:autoSpaceDE/>
        <w:autoSpaceDN/>
        <w:bidi w:val="0"/>
        <w:adjustRightInd/>
        <w:snapToGrid/>
        <w:spacing w:after="0" w:line="580" w:lineRule="exact"/>
        <w:ind w:left="0" w:leftChars="0" w:right="0" w:rightChars="0" w:firstLine="640" w:firstLineChars="200"/>
        <w:jc w:val="both"/>
        <w:textAlignment w:val="auto"/>
        <w:outlineLvl w:val="9"/>
        <w:rPr>
          <w:rFonts w:hint="eastAsia" w:ascii="黑体" w:hAnsi="黑体" w:eastAsia="黑体" w:cs="黑体"/>
          <w:color w:val="auto"/>
          <w:kern w:val="0"/>
          <w:sz w:val="32"/>
          <w:szCs w:val="32"/>
          <w:highlight w:val="none"/>
          <w:lang w:val="en-US" w:eastAsia="zh-CN" w:bidi="ar"/>
        </w:rPr>
      </w:pPr>
      <w:r>
        <w:rPr>
          <w:rFonts w:hint="eastAsia" w:ascii="黑体" w:hAnsi="黑体" w:eastAsia="黑体" w:cs="黑体"/>
          <w:color w:val="auto"/>
          <w:kern w:val="0"/>
          <w:sz w:val="32"/>
          <w:szCs w:val="32"/>
          <w:highlight w:val="none"/>
          <w:lang w:val="en-US" w:eastAsia="zh-CN" w:bidi="ar"/>
        </w:rPr>
        <w:t>七十三、安徽晟田电镀有限公司净化塔循环水跑冒滴漏，周边地面积存废水；厂内雨污分流不彻底。</w:t>
      </w:r>
    </w:p>
    <w:p w14:paraId="54DEB847">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楷体_GB2312" w:hAnsi="楷体_GB2312" w:eastAsia="楷体_GB2312" w:cs="楷体_GB2312"/>
          <w:color w:val="auto"/>
          <w:sz w:val="32"/>
          <w:szCs w:val="32"/>
          <w:highlight w:val="none"/>
        </w:rPr>
        <w:t>整改时限：</w:t>
      </w:r>
      <w:r>
        <w:rPr>
          <w:rFonts w:hint="eastAsia" w:ascii="仿宋_GB2312" w:hAnsi="仿宋_GB2312" w:eastAsia="仿宋_GB2312" w:cs="仿宋_GB2312"/>
          <w:i w:val="0"/>
          <w:iCs w:val="0"/>
          <w:color w:val="auto"/>
          <w:kern w:val="0"/>
          <w:sz w:val="32"/>
          <w:szCs w:val="32"/>
          <w:highlight w:val="none"/>
          <w:u w:val="none"/>
          <w:lang w:val="en-US" w:eastAsia="zh-CN" w:bidi="ar"/>
        </w:rPr>
        <w:t>2025年3月底。</w:t>
      </w:r>
    </w:p>
    <w:p w14:paraId="2D168943">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楷体_GB2312" w:hAnsi="楷体_GB2312" w:eastAsia="楷体_GB2312" w:cs="楷体_GB2312"/>
          <w:color w:val="auto"/>
          <w:sz w:val="32"/>
          <w:szCs w:val="32"/>
          <w:highlight w:val="none"/>
          <w:u w:val="none" w:color="auto"/>
          <w:lang w:val="en-US" w:eastAsia="zh-CN"/>
        </w:rPr>
      </w:pPr>
      <w:r>
        <w:rPr>
          <w:rFonts w:hint="eastAsia" w:ascii="楷体_GB2312" w:hAnsi="楷体_GB2312" w:eastAsia="楷体_GB2312" w:cs="楷体_GB2312"/>
          <w:color w:val="auto"/>
          <w:sz w:val="32"/>
          <w:szCs w:val="32"/>
          <w:highlight w:val="none"/>
        </w:rPr>
        <w:t>整改进展：</w:t>
      </w:r>
      <w:r>
        <w:rPr>
          <w:rFonts w:hint="eastAsia" w:ascii="仿宋_GB2312" w:hAnsi="仿宋_GB2312" w:eastAsia="仿宋_GB2312" w:cs="仿宋_GB2312"/>
          <w:color w:val="auto"/>
          <w:kern w:val="2"/>
          <w:sz w:val="32"/>
          <w:szCs w:val="32"/>
          <w:highlight w:val="none"/>
          <w:lang w:val="en-US" w:eastAsia="zh-CN" w:bidi="ar-SA"/>
        </w:rPr>
        <w:t>已完成整改。</w:t>
      </w:r>
    </w:p>
    <w:p w14:paraId="75523CBB">
      <w:pPr>
        <w:keepNext w:val="0"/>
        <w:keepLines w:val="0"/>
        <w:pageBreakBefore w:val="0"/>
        <w:widowControl w:val="0"/>
        <w:kinsoku/>
        <w:wordWrap/>
        <w:overflowPunct w:val="0"/>
        <w:topLinePunct w:val="0"/>
        <w:bidi w:val="0"/>
        <w:spacing w:line="580" w:lineRule="exact"/>
        <w:ind w:firstLine="640" w:firstLineChars="200"/>
        <w:jc w:val="both"/>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1.该企业已修复净化塔循环水管漏点，并在净化塔位置设置挡流板及托盘，统一收集处理；清理6号车间东侧雨水沟盖板上堆放的废旧托盘，在厂内建设一座容积约180立方米初期雨水收集池，并对雨水排放口定期开展监测。</w:t>
      </w:r>
    </w:p>
    <w:p w14:paraId="3D24273C">
      <w:pPr>
        <w:keepNext w:val="0"/>
        <w:keepLines w:val="0"/>
        <w:pageBreakBefore w:val="0"/>
        <w:widowControl w:val="0"/>
        <w:kinsoku/>
        <w:wordWrap/>
        <w:overflowPunct w:val="0"/>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i w:val="0"/>
          <w:iCs w:val="0"/>
          <w:color w:val="auto"/>
          <w:kern w:val="0"/>
          <w:sz w:val="32"/>
          <w:szCs w:val="32"/>
          <w:highlight w:val="none"/>
          <w:u w:val="none"/>
          <w:lang w:val="en-US" w:eastAsia="zh-CN" w:bidi="ar"/>
        </w:rPr>
        <w:t>2.督促企业加强日常巡查，发现问题及时整改。</w:t>
      </w:r>
    </w:p>
    <w:p w14:paraId="527AE5BB">
      <w:pPr>
        <w:pStyle w:val="15"/>
        <w:keepNext w:val="0"/>
        <w:keepLines w:val="0"/>
        <w:pageBreakBefore w:val="0"/>
        <w:widowControl w:val="0"/>
        <w:kinsoku/>
        <w:wordWrap/>
        <w:overflowPunct w:val="0"/>
        <w:topLinePunct w:val="0"/>
        <w:bidi w:val="0"/>
        <w:spacing w:line="580" w:lineRule="exact"/>
        <w:ind w:firstLine="640" w:firstLineChars="200"/>
        <w:jc w:val="both"/>
        <w:rPr>
          <w:rFonts w:hint="default"/>
          <w:color w:val="auto"/>
          <w:sz w:val="32"/>
          <w:szCs w:val="32"/>
          <w:highlight w:val="none"/>
          <w:lang w:val="en-US" w:eastAsia="zh-CN"/>
        </w:rPr>
      </w:pPr>
    </w:p>
    <w:p w14:paraId="4AEC3DA8">
      <w:pPr>
        <w:rPr>
          <w:rFonts w:hint="default"/>
          <w:color w:val="auto"/>
          <w:sz w:val="32"/>
          <w:szCs w:val="32"/>
          <w:highlight w:val="none"/>
          <w:lang w:val="en-US" w:eastAsia="zh-CN"/>
        </w:rPr>
      </w:pPr>
    </w:p>
    <w:p w14:paraId="62BB913F">
      <w:pPr>
        <w:pStyle w:val="4"/>
        <w:rPr>
          <w:rFonts w:hint="default"/>
          <w:color w:val="auto"/>
          <w:sz w:val="32"/>
          <w:szCs w:val="32"/>
          <w:highlight w:val="none"/>
          <w:lang w:val="en-US" w:eastAsia="zh-CN"/>
        </w:rPr>
      </w:pPr>
    </w:p>
    <w:p w14:paraId="7F5C700E">
      <w:pPr>
        <w:rPr>
          <w:rFonts w:hint="default"/>
          <w:color w:val="auto"/>
          <w:sz w:val="32"/>
          <w:szCs w:val="32"/>
          <w:highlight w:val="none"/>
          <w:lang w:val="en-US" w:eastAsia="zh-CN"/>
        </w:rPr>
      </w:pPr>
    </w:p>
    <w:p w14:paraId="3D7808F2">
      <w:pPr>
        <w:pStyle w:val="4"/>
        <w:rPr>
          <w:rFonts w:hint="default"/>
          <w:color w:val="auto"/>
          <w:sz w:val="32"/>
          <w:szCs w:val="32"/>
          <w:highlight w:val="none"/>
          <w:lang w:val="en-US" w:eastAsia="zh-CN"/>
        </w:rPr>
      </w:pPr>
    </w:p>
    <w:p w14:paraId="04A6E0F5">
      <w:pPr>
        <w:rPr>
          <w:rFonts w:hint="default"/>
          <w:color w:val="auto"/>
          <w:sz w:val="32"/>
          <w:szCs w:val="32"/>
          <w:highlight w:val="none"/>
          <w:lang w:val="en-US" w:eastAsia="zh-CN"/>
        </w:rPr>
      </w:pPr>
    </w:p>
    <w:p w14:paraId="0F96759B">
      <w:pPr>
        <w:pStyle w:val="4"/>
        <w:rPr>
          <w:rFonts w:hint="eastAsia" w:ascii="黑体" w:hAnsi="黑体" w:eastAsia="黑体" w:cs="黑体"/>
          <w:b w:val="0"/>
          <w:bCs w:val="0"/>
          <w:color w:val="auto"/>
          <w:sz w:val="32"/>
          <w:szCs w:val="32"/>
          <w:highlight w:val="none"/>
          <w:lang w:val="en-US" w:eastAsia="zh-CN"/>
        </w:rPr>
      </w:pPr>
    </w:p>
    <w:p w14:paraId="0CD3167A">
      <w:pPr>
        <w:pStyle w:val="4"/>
        <w:rPr>
          <w:rFonts w:hint="eastAsia" w:ascii="黑体" w:hAnsi="黑体" w:eastAsia="黑体" w:cs="黑体"/>
          <w:b w:val="0"/>
          <w:bCs w:val="0"/>
          <w:color w:val="auto"/>
          <w:sz w:val="32"/>
          <w:szCs w:val="32"/>
          <w:highlight w:val="none"/>
          <w:lang w:val="en-US" w:eastAsia="zh-CN"/>
        </w:rPr>
      </w:pPr>
    </w:p>
    <w:p w14:paraId="6977F25D">
      <w:pPr>
        <w:rPr>
          <w:rFonts w:hint="eastAsia" w:ascii="黑体" w:hAnsi="黑体" w:eastAsia="黑体" w:cs="黑体"/>
          <w:b w:val="0"/>
          <w:bCs w:val="0"/>
          <w:color w:val="auto"/>
          <w:sz w:val="32"/>
          <w:szCs w:val="32"/>
          <w:highlight w:val="none"/>
          <w:lang w:val="en-US" w:eastAsia="zh-CN"/>
        </w:rPr>
      </w:pPr>
    </w:p>
    <w:p w14:paraId="00683625">
      <w:pPr>
        <w:pStyle w:val="2"/>
        <w:rPr>
          <w:rFonts w:hint="eastAsia"/>
          <w:lang w:val="en-US" w:eastAsia="zh-CN"/>
        </w:rPr>
      </w:pPr>
    </w:p>
    <w:p w14:paraId="65E2ABC5">
      <w:pPr>
        <w:pStyle w:val="4"/>
        <w:rPr>
          <w:rFonts w:hint="eastAsia" w:ascii="黑体" w:hAnsi="黑体" w:eastAsia="黑体" w:cs="黑体"/>
          <w:b w:val="0"/>
          <w:bCs w:val="0"/>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rPr>
        <w:t>附件2</w:t>
      </w:r>
    </w:p>
    <w:p w14:paraId="744FBE09">
      <w:pPr>
        <w:spacing w:beforeLines="0" w:afterLines="0" w:line="600" w:lineRule="exact"/>
        <w:jc w:val="center"/>
        <w:rPr>
          <w:rFonts w:hint="eastAsia" w:ascii="仿宋_GB2312" w:hAnsi="仿宋_GB2312" w:eastAsia="方正小标宋简体" w:cs="方正小标宋简体"/>
          <w:color w:val="000000"/>
          <w:spacing w:val="0"/>
          <w:sz w:val="44"/>
          <w:szCs w:val="44"/>
          <w:lang w:val="en-US" w:eastAsia="zh-CN"/>
        </w:rPr>
      </w:pPr>
      <w:r>
        <w:rPr>
          <w:rFonts w:hint="eastAsia" w:ascii="仿宋_GB2312" w:hAnsi="仿宋_GB2312" w:eastAsia="方正小标宋简体" w:cs="方正小标宋简体"/>
          <w:color w:val="000000"/>
          <w:sz w:val="44"/>
          <w:szCs w:val="44"/>
          <w:lang w:val="en-US" w:eastAsia="zh-CN"/>
        </w:rPr>
        <w:t>池州市</w:t>
      </w:r>
      <w:r>
        <w:rPr>
          <w:rFonts w:hint="eastAsia" w:ascii="仿宋_GB2312" w:hAnsi="仿宋_GB2312" w:eastAsia="方正小标宋简体" w:cs="方正小标宋简体"/>
          <w:color w:val="000000"/>
          <w:sz w:val="44"/>
          <w:szCs w:val="44"/>
        </w:rPr>
        <w:t>第三轮省生态环境保护督察</w:t>
      </w:r>
      <w:r>
        <w:rPr>
          <w:rFonts w:hint="eastAsia" w:ascii="仿宋_GB2312" w:hAnsi="仿宋_GB2312" w:eastAsia="方正小标宋简体" w:cs="方正小标宋简体"/>
          <w:color w:val="000000"/>
          <w:spacing w:val="0"/>
          <w:sz w:val="44"/>
          <w:szCs w:val="44"/>
          <w:lang w:val="en-US" w:eastAsia="zh-CN"/>
        </w:rPr>
        <w:t>移交</w:t>
      </w:r>
    </w:p>
    <w:p w14:paraId="15781746">
      <w:pPr>
        <w:keepNext w:val="0"/>
        <w:keepLines w:val="0"/>
        <w:pageBreakBefore w:val="0"/>
        <w:widowControl w:val="0"/>
        <w:kinsoku/>
        <w:wordWrap/>
        <w:overflowPunct/>
        <w:topLinePunct w:val="0"/>
        <w:autoSpaceDE/>
        <w:autoSpaceDN/>
        <w:bidi w:val="0"/>
        <w:adjustRightInd/>
        <w:snapToGrid/>
        <w:spacing w:beforeLines="0" w:afterLines="0" w:line="600" w:lineRule="exact"/>
        <w:jc w:val="center"/>
        <w:textAlignment w:val="auto"/>
        <w:rPr>
          <w:rFonts w:hint="eastAsia" w:ascii="仿宋_GB2312" w:hAnsi="仿宋_GB2312" w:eastAsia="方正小标宋简体" w:cs="方正小标宋简体"/>
          <w:b w:val="0"/>
          <w:bCs w:val="0"/>
          <w:color w:val="000000"/>
          <w:sz w:val="44"/>
          <w:szCs w:val="44"/>
          <w:lang w:eastAsia="zh-CN"/>
        </w:rPr>
      </w:pPr>
      <w:r>
        <w:rPr>
          <w:rFonts w:hint="eastAsia" w:ascii="仿宋_GB2312" w:hAnsi="仿宋_GB2312" w:eastAsia="方正小标宋简体" w:cs="方正小标宋简体"/>
          <w:color w:val="000000"/>
          <w:spacing w:val="0"/>
          <w:sz w:val="44"/>
          <w:szCs w:val="44"/>
          <w:lang w:val="en-US" w:eastAsia="zh-CN"/>
        </w:rPr>
        <w:t>责任追究</w:t>
      </w:r>
      <w:r>
        <w:rPr>
          <w:rFonts w:hint="eastAsia" w:ascii="仿宋_GB2312" w:hAnsi="仿宋_GB2312" w:eastAsia="方正小标宋简体" w:cs="方正小标宋简体"/>
          <w:color w:val="000000"/>
          <w:sz w:val="44"/>
          <w:szCs w:val="44"/>
        </w:rPr>
        <w:t>问题追责问责情况</w:t>
      </w:r>
    </w:p>
    <w:p w14:paraId="14FFB1DE">
      <w:pPr>
        <w:pStyle w:val="14"/>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580" w:lineRule="exact"/>
        <w:ind w:left="0" w:right="0" w:firstLine="640" w:firstLineChars="200"/>
        <w:jc w:val="both"/>
        <w:textAlignment w:val="auto"/>
        <w:rPr>
          <w:rFonts w:hint="eastAsia"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2024年</w:t>
      </w:r>
      <w:r>
        <w:rPr>
          <w:rFonts w:hint="default" w:ascii="Times New Roman" w:hAnsi="Times New Roman" w:eastAsia="仿宋_GB2312" w:cs="Times New Roman"/>
          <w:b w:val="0"/>
          <w:color w:val="auto"/>
          <w:kern w:val="2"/>
          <w:sz w:val="32"/>
          <w:szCs w:val="32"/>
          <w:highlight w:val="none"/>
          <w:lang w:val="en-US" w:eastAsia="zh-CN" w:bidi="ar"/>
        </w:rPr>
        <w:t>5月30日至6月7日、6月11日至7月1日</w:t>
      </w:r>
      <w:r>
        <w:rPr>
          <w:rFonts w:hint="default" w:ascii="Times New Roman" w:hAnsi="Times New Roman" w:eastAsia="仿宋_GB2312" w:cs="Times New Roman"/>
          <w:sz w:val="32"/>
          <w:szCs w:val="32"/>
          <w:lang w:val="en-US" w:eastAsia="zh-CN"/>
        </w:rPr>
        <w:t>，安徽省第一生态环境保护督察组对我市开展第三轮省生态环境保护督察，于2024年10月10日向我市反馈了督察报告，并移交了责任追究问题</w:t>
      </w:r>
      <w:r>
        <w:rPr>
          <w:rFonts w:hint="eastAsia" w:ascii="Times New Roman" w:hAnsi="Times New Roman" w:eastAsia="仿宋_GB2312" w:cs="Times New Roman"/>
          <w:sz w:val="32"/>
          <w:szCs w:val="32"/>
          <w:lang w:val="en-US" w:eastAsia="zh-CN"/>
        </w:rPr>
        <w:t>清单</w:t>
      </w:r>
      <w:r>
        <w:rPr>
          <w:rFonts w:hint="default" w:ascii="Times New Roman" w:hAnsi="Times New Roman" w:eastAsia="仿宋_GB2312" w:cs="Times New Roman"/>
          <w:color w:val="000000"/>
          <w:sz w:val="32"/>
          <w:szCs w:val="32"/>
          <w:u w:val="none"/>
          <w:lang w:val="en-US" w:eastAsia="zh-CN"/>
        </w:rPr>
        <w:t>。市委、市政府高度重视，要求依规依纪依法严肃追责问责。</w:t>
      </w:r>
      <w:r>
        <w:rPr>
          <w:rFonts w:hint="default" w:ascii="Times New Roman" w:hAnsi="Times New Roman" w:eastAsia="仿宋_GB2312" w:cs="Times New Roman"/>
          <w:sz w:val="32"/>
          <w:szCs w:val="32"/>
          <w:lang w:val="en-US" w:eastAsia="zh-CN"/>
        </w:rPr>
        <w:t>依照《安徽省纪检监察机关开展问责工作指引（试行）》等规定，市纪委监委会同市生态环境局成立责任追究调查问责工作专班，制定工作方案，对移交的2个</w:t>
      </w:r>
      <w:r>
        <w:rPr>
          <w:rFonts w:hint="eastAsia" w:ascii="Times New Roman" w:hAnsi="Times New Roman" w:eastAsia="仿宋_GB2312" w:cs="Times New Roman"/>
          <w:sz w:val="32"/>
          <w:szCs w:val="32"/>
          <w:lang w:val="en-US" w:eastAsia="zh-CN"/>
        </w:rPr>
        <w:t>责任追究</w:t>
      </w:r>
      <w:r>
        <w:rPr>
          <w:rFonts w:hint="default" w:ascii="Times New Roman" w:hAnsi="Times New Roman" w:eastAsia="仿宋_GB2312" w:cs="Times New Roman"/>
          <w:sz w:val="32"/>
          <w:szCs w:val="32"/>
          <w:lang w:val="en-US" w:eastAsia="zh-CN"/>
        </w:rPr>
        <w:t>问题</w:t>
      </w:r>
      <w:r>
        <w:rPr>
          <w:rFonts w:hint="default" w:ascii="Times New Roman" w:hAnsi="Times New Roman" w:eastAsia="仿宋_GB2312" w:cs="Times New Roman"/>
          <w:snapToGrid w:val="0"/>
          <w:color w:val="auto"/>
          <w:kern w:val="0"/>
          <w:sz w:val="32"/>
          <w:szCs w:val="32"/>
          <w:lang w:val="en-US" w:eastAsia="zh-CN"/>
        </w:rPr>
        <w:t>（</w:t>
      </w:r>
      <w:r>
        <w:rPr>
          <w:rFonts w:hint="default" w:ascii="Times New Roman" w:hAnsi="Times New Roman" w:eastAsia="仿宋_GB2312" w:cs="Times New Roman"/>
          <w:sz w:val="32"/>
          <w:szCs w:val="32"/>
          <w:lang w:val="en-US" w:eastAsia="zh-CN"/>
        </w:rPr>
        <w:t>另外1个问题与第三轮中央生态环境保护督察移交责任追究问题重复，由省级层面直接办理</w:t>
      </w:r>
      <w:r>
        <w:rPr>
          <w:rFonts w:hint="default" w:ascii="Times New Roman" w:hAnsi="Times New Roman" w:eastAsia="仿宋_GB2312" w:cs="Times New Roman"/>
          <w:snapToGrid w:val="0"/>
          <w:color w:val="auto"/>
          <w:kern w:val="0"/>
          <w:sz w:val="32"/>
          <w:szCs w:val="32"/>
          <w:lang w:val="en-US" w:eastAsia="zh-CN"/>
        </w:rPr>
        <w:t>）</w:t>
      </w:r>
      <w:r>
        <w:rPr>
          <w:rFonts w:hint="eastAsia" w:ascii="仿宋_GB2312" w:eastAsia="仿宋_GB2312" w:cs="仿宋_GB2312"/>
          <w:sz w:val="32"/>
          <w:szCs w:val="32"/>
          <w:lang w:val="en-US" w:eastAsia="zh-CN"/>
        </w:rPr>
        <w:t>开展问责调查</w:t>
      </w:r>
      <w:r>
        <w:rPr>
          <w:rFonts w:hint="eastAsia" w:ascii="Times New Roman" w:hAnsi="Times New Roman" w:eastAsia="仿宋_GB2312" w:cs="Times New Roman"/>
          <w:sz w:val="32"/>
          <w:szCs w:val="32"/>
          <w:lang w:val="en-US" w:eastAsia="zh-CN"/>
        </w:rPr>
        <w:t>，严肃追责问责。</w:t>
      </w:r>
    </w:p>
    <w:p w14:paraId="316EF9BF">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default" w:ascii="Times New Roman" w:hAnsi="Times New Roman" w:eastAsia="黑体" w:cs="Times New Roman"/>
          <w:sz w:val="32"/>
          <w:szCs w:val="32"/>
          <w:lang w:val="en-US" w:eastAsia="zh-CN"/>
        </w:rPr>
      </w:pPr>
      <w:r>
        <w:rPr>
          <w:rFonts w:hint="default" w:ascii="Times New Roman" w:hAnsi="Times New Roman" w:eastAsia="黑体" w:cs="Times New Roman"/>
          <w:sz w:val="32"/>
          <w:szCs w:val="32"/>
          <w:lang w:val="en-US" w:eastAsia="zh-CN"/>
        </w:rPr>
        <w:t>一、池州市部分县区水环境基础设施存在短板问题</w:t>
      </w:r>
    </w:p>
    <w:p w14:paraId="61CEA917">
      <w:pPr>
        <w:pStyle w:val="13"/>
        <w:keepNext w:val="0"/>
        <w:keepLines w:val="0"/>
        <w:pageBreakBefore w:val="0"/>
        <w:widowControl w:val="0"/>
        <w:kinsoku/>
        <w:wordWrap/>
        <w:overflowPunct w:val="0"/>
        <w:topLinePunct w:val="0"/>
        <w:autoSpaceDE/>
        <w:autoSpaceDN/>
        <w:bidi w:val="0"/>
        <w:adjustRightInd/>
        <w:snapToGrid/>
        <w:spacing w:line="58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经查，市有关部门</w:t>
      </w:r>
      <w:r>
        <w:rPr>
          <w:rFonts w:hint="default" w:ascii="Times New Roman" w:hAnsi="Times New Roman" w:eastAsia="仿宋_GB2312" w:cs="Times New Roman"/>
          <w:color w:val="auto"/>
          <w:spacing w:val="0"/>
          <w:sz w:val="32"/>
          <w:szCs w:val="32"/>
          <w:u w:val="none" w:color="auto"/>
          <w:shd w:val="clear" w:color="auto" w:fill="FFFFFF"/>
          <w:lang w:val="en-US" w:eastAsia="zh-CN"/>
        </w:rPr>
        <w:t>学习贯彻</w:t>
      </w:r>
      <w:r>
        <w:rPr>
          <w:rFonts w:hint="default" w:ascii="Times New Roman" w:hAnsi="Times New Roman" w:eastAsia="仿宋_GB2312" w:cs="Times New Roman"/>
          <w:color w:val="auto"/>
          <w:spacing w:val="0"/>
          <w:sz w:val="32"/>
          <w:szCs w:val="32"/>
          <w:u w:val="none" w:color="auto"/>
          <w:shd w:val="clear" w:color="auto" w:fill="FFFFFF"/>
          <w:lang w:eastAsia="zh-CN"/>
        </w:rPr>
        <w:t>习近平生态文明思想有差距，统筹城市建设与环境保护</w:t>
      </w:r>
      <w:r>
        <w:rPr>
          <w:rFonts w:hint="eastAsia" w:ascii="Times New Roman" w:hAnsi="Times New Roman" w:eastAsia="仿宋_GB2312" w:cs="Times New Roman"/>
          <w:color w:val="auto"/>
          <w:spacing w:val="0"/>
          <w:sz w:val="32"/>
          <w:szCs w:val="32"/>
          <w:u w:val="none" w:color="auto"/>
          <w:shd w:val="clear" w:color="auto" w:fill="FFFFFF"/>
          <w:lang w:val="en-US" w:eastAsia="zh-CN"/>
        </w:rPr>
        <w:t>存在不足</w:t>
      </w:r>
      <w:r>
        <w:rPr>
          <w:rFonts w:hint="default" w:ascii="Times New Roman" w:hAnsi="Times New Roman" w:eastAsia="仿宋_GB2312" w:cs="Times New Roman"/>
          <w:color w:val="auto"/>
          <w:spacing w:val="0"/>
          <w:sz w:val="32"/>
          <w:szCs w:val="32"/>
          <w:u w:val="none" w:color="auto"/>
          <w:shd w:val="clear" w:color="auto" w:fill="FFFFFF"/>
          <w:lang w:val="en-US" w:eastAsia="zh-CN"/>
        </w:rPr>
        <w:t>；</w:t>
      </w:r>
      <w:r>
        <w:rPr>
          <w:rFonts w:hint="default" w:ascii="Times New Roman" w:hAnsi="Times New Roman" w:eastAsia="仿宋_GB2312" w:cs="Times New Roman"/>
          <w:sz w:val="32"/>
          <w:szCs w:val="32"/>
          <w:lang w:val="en-US" w:eastAsia="zh-CN"/>
        </w:rPr>
        <w:t>青阳县</w:t>
      </w:r>
      <w:r>
        <w:rPr>
          <w:rFonts w:hint="default" w:ascii="Times New Roman" w:hAnsi="Times New Roman" w:eastAsia="仿宋_GB2312" w:cs="Times New Roman"/>
          <w:color w:val="auto"/>
          <w:spacing w:val="0"/>
          <w:sz w:val="32"/>
          <w:szCs w:val="32"/>
          <w:u w:val="none" w:color="auto"/>
          <w:shd w:val="clear" w:color="auto" w:fill="FFFFFF"/>
          <w:lang w:eastAsia="zh-CN"/>
        </w:rPr>
        <w:t>组织推进</w:t>
      </w:r>
      <w:r>
        <w:rPr>
          <w:rFonts w:hint="default" w:ascii="Times New Roman" w:hAnsi="Times New Roman" w:eastAsia="仿宋_GB2312" w:cs="Times New Roman"/>
          <w:sz w:val="32"/>
          <w:szCs w:val="32"/>
          <w:u w:val="none" w:color="auto"/>
          <w:lang w:val="en-US" w:eastAsia="zh-CN"/>
        </w:rPr>
        <w:t>缺陷管网、雨污合流制管网整治不够有力，对污水直排入河问题排查整治专项行动督促不够到位；</w:t>
      </w:r>
      <w:r>
        <w:rPr>
          <w:rFonts w:hint="default" w:ascii="Times New Roman" w:hAnsi="Times New Roman" w:eastAsia="仿宋_GB2312" w:cs="Times New Roman"/>
          <w:sz w:val="32"/>
          <w:szCs w:val="32"/>
          <w:lang w:val="en-US" w:eastAsia="zh-CN"/>
        </w:rPr>
        <w:t>贵池区、青阳县有关部门</w:t>
      </w:r>
      <w:r>
        <w:rPr>
          <w:rFonts w:hint="default" w:ascii="Times New Roman" w:hAnsi="Times New Roman" w:eastAsia="仿宋_GB2312" w:cs="Times New Roman"/>
          <w:sz w:val="32"/>
          <w:szCs w:val="32"/>
          <w:u w:val="none" w:color="auto"/>
          <w:lang w:val="en-US" w:eastAsia="zh-CN"/>
        </w:rPr>
        <w:t>开展污水直排入河问题排查整治专项行动不够有力，污水直排问题突出。</w:t>
      </w:r>
      <w:r>
        <w:rPr>
          <w:rFonts w:hint="default" w:ascii="Times New Roman" w:hAnsi="Times New Roman" w:eastAsia="仿宋_GB2312" w:cs="Times New Roman"/>
          <w:sz w:val="32"/>
          <w:szCs w:val="32"/>
          <w:lang w:val="en-US" w:eastAsia="zh-CN"/>
        </w:rPr>
        <w:t>根据查明的事实和责任认定，对4个责任单位和6名责任人予以追责问责。其中，诫勉处理3人、采取其他方式追责问责</w:t>
      </w:r>
      <w:r>
        <w:rPr>
          <w:rFonts w:hint="eastAsia"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lang w:val="en-US" w:eastAsia="zh-CN"/>
        </w:rPr>
        <w:t>人。</w:t>
      </w:r>
    </w:p>
    <w:p w14:paraId="46880948">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default" w:ascii="Times New Roman" w:hAnsi="Times New Roman" w:eastAsia="黑体" w:cs="Times New Roman"/>
          <w:sz w:val="32"/>
          <w:szCs w:val="32"/>
          <w:lang w:val="en-US" w:eastAsia="zh-CN"/>
        </w:rPr>
      </w:pPr>
      <w:r>
        <w:rPr>
          <w:rFonts w:hint="default" w:ascii="Times New Roman" w:hAnsi="Times New Roman" w:eastAsia="黑体" w:cs="Times New Roman"/>
          <w:sz w:val="32"/>
          <w:szCs w:val="32"/>
          <w:lang w:val="en-US" w:eastAsia="zh-CN"/>
        </w:rPr>
        <w:t>二、池州市部分区域建筑垃圾管理粗放问题</w:t>
      </w:r>
    </w:p>
    <w:p w14:paraId="2EF64EB1">
      <w:pPr>
        <w:pStyle w:val="13"/>
        <w:keepNext w:val="0"/>
        <w:keepLines w:val="0"/>
        <w:pageBreakBefore w:val="0"/>
        <w:widowControl w:val="0"/>
        <w:kinsoku/>
        <w:wordWrap/>
        <w:overflowPunct w:val="0"/>
        <w:topLinePunct w:val="0"/>
        <w:bidi w:val="0"/>
        <w:adjustRightInd/>
        <w:snapToGrid/>
        <w:spacing w:line="570" w:lineRule="exact"/>
        <w:ind w:firstLine="640" w:firstLineChars="200"/>
        <w:jc w:val="both"/>
        <w:textAlignment w:val="auto"/>
        <w:rPr>
          <w:rFonts w:hint="eastAsia" w:ascii="仿宋_GB2312" w:hAnsi="仿宋_GB2312" w:eastAsia="仿宋_GB2312" w:cs="仿宋_GB2312"/>
          <w:b w:val="0"/>
          <w:bCs w:val="0"/>
          <w:sz w:val="32"/>
          <w:szCs w:val="32"/>
          <w:u w:val="none"/>
          <w:lang w:val="en-US" w:eastAsia="zh-CN"/>
        </w:rPr>
      </w:pPr>
      <w:r>
        <w:rPr>
          <w:rFonts w:hint="default" w:ascii="Times New Roman" w:hAnsi="Times New Roman" w:eastAsia="仿宋_GB2312" w:cs="Times New Roman"/>
          <w:sz w:val="32"/>
          <w:szCs w:val="32"/>
          <w:lang w:val="en-US" w:eastAsia="zh-CN"/>
        </w:rPr>
        <w:t>经查，</w:t>
      </w:r>
      <w:r>
        <w:rPr>
          <w:rFonts w:hint="default" w:ascii="Times New Roman" w:hAnsi="Times New Roman" w:eastAsia="仿宋_GB2312" w:cs="Times New Roman"/>
          <w:color w:val="000000"/>
          <w:sz w:val="32"/>
          <w:szCs w:val="32"/>
          <w:u w:val="none"/>
          <w:lang w:val="en-US" w:eastAsia="zh-CN"/>
        </w:rPr>
        <w:t>市有关</w:t>
      </w:r>
      <w:r>
        <w:rPr>
          <w:rFonts w:hint="eastAsia" w:ascii="Times New Roman" w:hAnsi="Times New Roman" w:eastAsia="仿宋_GB2312" w:cs="Times New Roman"/>
          <w:color w:val="000000"/>
          <w:sz w:val="32"/>
          <w:szCs w:val="32"/>
          <w:u w:val="none"/>
          <w:lang w:val="en-US" w:eastAsia="zh-CN"/>
        </w:rPr>
        <w:t>部门</w:t>
      </w:r>
      <w:r>
        <w:rPr>
          <w:rFonts w:hint="default" w:ascii="Times New Roman" w:hAnsi="Times New Roman" w:eastAsia="仿宋_GB2312" w:cs="Times New Roman"/>
          <w:color w:val="auto"/>
          <w:spacing w:val="0"/>
          <w:sz w:val="32"/>
          <w:szCs w:val="32"/>
          <w:u w:val="none" w:color="auto"/>
          <w:shd w:val="clear" w:color="auto" w:fill="FFFFFF"/>
          <w:lang w:val="en-US" w:eastAsia="zh-CN"/>
        </w:rPr>
        <w:t>学习贯彻</w:t>
      </w:r>
      <w:r>
        <w:rPr>
          <w:rFonts w:hint="default" w:ascii="Times New Roman" w:hAnsi="Times New Roman" w:eastAsia="仿宋_GB2312" w:cs="Times New Roman"/>
          <w:color w:val="auto"/>
          <w:spacing w:val="0"/>
          <w:sz w:val="32"/>
          <w:szCs w:val="32"/>
          <w:u w:val="none"/>
          <w:shd w:val="clear" w:color="auto" w:fill="FFFFFF"/>
        </w:rPr>
        <w:t>习近平生态文明思想有差距</w:t>
      </w:r>
      <w:r>
        <w:rPr>
          <w:rFonts w:hint="default" w:ascii="Times New Roman" w:hAnsi="Times New Roman" w:eastAsia="仿宋_GB2312" w:cs="Times New Roman"/>
          <w:color w:val="auto"/>
          <w:spacing w:val="0"/>
          <w:sz w:val="32"/>
          <w:szCs w:val="32"/>
          <w:u w:val="none"/>
          <w:shd w:val="clear" w:color="auto" w:fill="FFFFFF"/>
          <w:lang w:eastAsia="zh-CN"/>
        </w:rPr>
        <w:t>，</w:t>
      </w:r>
      <w:r>
        <w:rPr>
          <w:rFonts w:hint="default" w:ascii="Times New Roman" w:hAnsi="Times New Roman" w:eastAsia="仿宋_GB2312" w:cs="Times New Roman"/>
          <w:sz w:val="32"/>
          <w:szCs w:val="32"/>
          <w:u w:val="none"/>
          <w:lang w:val="en-US" w:eastAsia="zh-CN"/>
        </w:rPr>
        <w:t>履行生态环境保护职责不到位；</w:t>
      </w:r>
      <w:r>
        <w:rPr>
          <w:rFonts w:hint="default" w:ascii="Times New Roman" w:hAnsi="Times New Roman" w:eastAsia="仿宋_GB2312" w:cs="Times New Roman"/>
          <w:b w:val="0"/>
          <w:bCs w:val="0"/>
          <w:sz w:val="32"/>
          <w:szCs w:val="32"/>
          <w:u w:val="none"/>
          <w:lang w:val="en-US" w:eastAsia="zh-CN"/>
        </w:rPr>
        <w:t>池州高新</w:t>
      </w:r>
      <w:r>
        <w:rPr>
          <w:rFonts w:hint="default" w:ascii="Times New Roman" w:hAnsi="Times New Roman" w:eastAsia="仿宋_GB2312" w:cs="Times New Roman"/>
          <w:b w:val="0"/>
          <w:bCs w:val="0"/>
          <w:color w:val="auto"/>
          <w:spacing w:val="0"/>
          <w:kern w:val="2"/>
          <w:sz w:val="32"/>
          <w:szCs w:val="32"/>
          <w:u w:val="none"/>
          <w:shd w:val="clear" w:color="auto" w:fill="FFFFFF"/>
          <w:lang w:val="en-US" w:eastAsia="zh-CN" w:bidi="ar-SA"/>
        </w:rPr>
        <w:t>区</w:t>
      </w:r>
      <w:r>
        <w:rPr>
          <w:rFonts w:hint="default" w:ascii="Times New Roman" w:hAnsi="Times New Roman" w:eastAsia="仿宋_GB2312" w:cs="Times New Roman"/>
          <w:b w:val="0"/>
          <w:bCs w:val="0"/>
          <w:color w:val="000000"/>
          <w:sz w:val="32"/>
          <w:szCs w:val="32"/>
          <w:u w:val="none"/>
          <w:lang w:val="en-US" w:eastAsia="zh-CN"/>
        </w:rPr>
        <w:t>违规决策，填埋工程弃土；</w:t>
      </w:r>
      <w:r>
        <w:rPr>
          <w:rFonts w:hint="default" w:ascii="Times New Roman" w:hAnsi="Times New Roman" w:eastAsia="仿宋_GB2312" w:cs="Times New Roman"/>
          <w:i w:val="0"/>
          <w:iCs w:val="0"/>
          <w:color w:val="000000"/>
          <w:sz w:val="32"/>
          <w:szCs w:val="32"/>
          <w:u w:val="none"/>
          <w:lang w:val="en-US" w:eastAsia="zh-CN"/>
        </w:rPr>
        <w:t>贵池区、</w:t>
      </w:r>
      <w:r>
        <w:rPr>
          <w:rFonts w:hint="default" w:ascii="Times New Roman" w:hAnsi="Times New Roman" w:eastAsia="仿宋_GB2312" w:cs="Times New Roman"/>
          <w:color w:val="000000"/>
          <w:sz w:val="32"/>
          <w:szCs w:val="32"/>
          <w:u w:val="none"/>
          <w:lang w:val="en-US" w:eastAsia="zh-CN"/>
        </w:rPr>
        <w:t>石台县</w:t>
      </w:r>
      <w:r>
        <w:rPr>
          <w:rFonts w:hint="default" w:ascii="Times New Roman" w:hAnsi="Times New Roman" w:eastAsia="仿宋_GB2312" w:cs="Times New Roman"/>
          <w:i w:val="0"/>
          <w:iCs w:val="0"/>
          <w:color w:val="000000"/>
          <w:sz w:val="32"/>
          <w:szCs w:val="32"/>
          <w:u w:val="none"/>
          <w:lang w:val="en-US" w:eastAsia="zh-CN"/>
        </w:rPr>
        <w:t>有关部门</w:t>
      </w:r>
      <w:r>
        <w:rPr>
          <w:rFonts w:hint="default" w:ascii="Times New Roman" w:hAnsi="Times New Roman" w:eastAsia="仿宋_GB2312" w:cs="Times New Roman"/>
          <w:sz w:val="32"/>
          <w:szCs w:val="32"/>
          <w:u w:val="none"/>
          <w:lang w:val="en-US" w:eastAsia="zh-CN"/>
        </w:rPr>
        <w:t>开展建筑垃圾存量治理和管理专项整治行动不扎实，未排查发现有关建筑垃圾乱堆乱倒问题；</w:t>
      </w:r>
      <w:r>
        <w:rPr>
          <w:rFonts w:hint="default" w:ascii="Times New Roman" w:hAnsi="Times New Roman" w:eastAsia="仿宋_GB2312" w:cs="Times New Roman"/>
          <w:b w:val="0"/>
          <w:bCs w:val="0"/>
          <w:sz w:val="32"/>
          <w:szCs w:val="32"/>
          <w:u w:val="none"/>
          <w:lang w:val="en-US" w:eastAsia="zh-CN"/>
        </w:rPr>
        <w:t>东至县有关部门和地方办理《建筑垃圾处置核准证》时把关不严，日常监管不到位；对销号后临时用地，未跟踪督促土地恢复；未及时发现违规侵占林地问题；监管不到位，整改工作推进不力。</w:t>
      </w:r>
      <w:r>
        <w:rPr>
          <w:rFonts w:hint="default" w:ascii="Times New Roman" w:hAnsi="Times New Roman" w:eastAsia="仿宋_GB2312" w:cs="Times New Roman"/>
          <w:sz w:val="32"/>
          <w:szCs w:val="32"/>
          <w:lang w:val="en-US" w:eastAsia="zh-CN"/>
        </w:rPr>
        <w:t>根据查明的事实和责任认定，对5个责任党组织（单位）和17名责任人予以追责问责。其中，党纪政务处分3人、诫勉处理6人、采取其他方式追责问责8人。</w:t>
      </w:r>
    </w:p>
    <w:p w14:paraId="50FFB571">
      <w:pPr>
        <w:keepNext w:val="0"/>
        <w:keepLines w:val="0"/>
        <w:pageBreakBefore w:val="0"/>
        <w:widowControl w:val="0"/>
        <w:kinsoku/>
        <w:wordWrap/>
        <w:topLinePunct w:val="0"/>
        <w:autoSpaceDE/>
        <w:autoSpaceDN/>
        <w:bidi w:val="0"/>
        <w:adjustRightInd/>
        <w:snapToGrid/>
        <w:spacing w:beforeLines="0" w:afterLines="0" w:line="580" w:lineRule="exact"/>
        <w:ind w:firstLine="640" w:firstLineChars="200"/>
        <w:jc w:val="left"/>
        <w:textAlignment w:val="auto"/>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b w:val="0"/>
          <w:bCs w:val="0"/>
          <w:color w:val="000000"/>
          <w:kern w:val="0"/>
          <w:sz w:val="32"/>
          <w:szCs w:val="32"/>
          <w:highlight w:val="none"/>
          <w:u w:val="none"/>
          <w:lang w:val="en-US" w:eastAsia="zh-CN" w:bidi="ar"/>
        </w:rPr>
        <w:t>生态环保工作是“国之大者”。此次有关单位和领导干部受到严肃处理，充分彰显了市委、市政府坚决贯彻落实党中央、国务院及省委、省政府关于生态文明建设和生态环境保护决策部署的政治自觉和毫不动摇走生态立市之路的战略定力。全市上下要以此为镜鉴，深学细悟党的二十届四中全会和习近平总书记考察安徽重要讲话精神，坚决扛牢督察整改的政治责任，动真碰硬、真抓实改，切实把加快全面绿色转型发展摆在更加突出的位置，努力实现高水平保护与高质量发展</w:t>
      </w:r>
      <w:r>
        <w:rPr>
          <w:rFonts w:hint="eastAsia" w:ascii="仿宋_GB2312" w:hAnsi="仿宋_GB2312" w:eastAsia="仿宋_GB2312" w:cs="仿宋_GB2312"/>
          <w:color w:val="000000"/>
          <w:sz w:val="32"/>
          <w:szCs w:val="32"/>
          <w:lang w:val="en-US" w:eastAsia="zh-CN"/>
        </w:rPr>
        <w:t>。</w:t>
      </w:r>
    </w:p>
    <w:p w14:paraId="29B4023F">
      <w:pPr>
        <w:jc w:val="center"/>
        <w:rPr>
          <w:rFonts w:hint="eastAsia" w:ascii="方正小标宋简体" w:hAnsi="方正小标宋简体" w:eastAsia="方正小标宋简体" w:cs="方正小标宋简体"/>
          <w:sz w:val="44"/>
          <w:szCs w:val="44"/>
          <w:lang w:eastAsia="zh-CN"/>
        </w:rPr>
      </w:pPr>
    </w:p>
    <w:p w14:paraId="3D97FC03">
      <w:pPr>
        <w:rPr>
          <w:rFonts w:hint="eastAsia"/>
          <w:lang w:val="en-US" w:eastAsia="zh-CN"/>
        </w:rPr>
      </w:pPr>
    </w:p>
    <w:p w14:paraId="6101FCC4">
      <w:pPr>
        <w:pStyle w:val="4"/>
        <w:rPr>
          <w:rFonts w:hint="eastAsia"/>
          <w:lang w:val="en-US" w:eastAsia="zh-CN"/>
        </w:rPr>
      </w:pPr>
    </w:p>
    <w:p w14:paraId="204FCA99">
      <w:pPr>
        <w:rPr>
          <w:rFonts w:hint="eastAsia"/>
          <w:lang w:val="en-US" w:eastAsia="zh-CN"/>
        </w:rPr>
      </w:pPr>
    </w:p>
    <w:p w14:paraId="5485AC50">
      <w:pPr>
        <w:pStyle w:val="4"/>
        <w:rPr>
          <w:rFonts w:hint="eastAsia"/>
          <w:lang w:val="en-US" w:eastAsia="zh-CN"/>
        </w:rPr>
      </w:pPr>
    </w:p>
    <w:p w14:paraId="385BC78F">
      <w:pPr>
        <w:rPr>
          <w:rFonts w:hint="eastAsia"/>
          <w:lang w:val="en-US" w:eastAsia="zh-CN"/>
        </w:rPr>
      </w:pPr>
    </w:p>
    <w:p w14:paraId="6A3993F4">
      <w:pPr>
        <w:pStyle w:val="4"/>
        <w:rPr>
          <w:rFonts w:hint="eastAsia"/>
          <w:lang w:val="en-US" w:eastAsia="zh-CN"/>
        </w:rPr>
      </w:pPr>
    </w:p>
    <w:p w14:paraId="6A3B7D52">
      <w:pPr>
        <w:rPr>
          <w:rFonts w:hint="eastAsia"/>
          <w:lang w:val="en-US" w:eastAsia="zh-CN"/>
        </w:rPr>
      </w:pPr>
    </w:p>
    <w:p w14:paraId="0B888170">
      <w:pPr>
        <w:pStyle w:val="4"/>
        <w:rPr>
          <w:rFonts w:hint="eastAsia"/>
          <w:lang w:val="en-US" w:eastAsia="zh-CN"/>
        </w:rPr>
      </w:pPr>
    </w:p>
    <w:p w14:paraId="1A8CCC82">
      <w:pPr>
        <w:rPr>
          <w:rFonts w:hint="eastAsia"/>
          <w:lang w:val="en-US" w:eastAsia="zh-CN"/>
        </w:rPr>
      </w:pPr>
    </w:p>
    <w:p w14:paraId="5C3D7F24">
      <w:pPr>
        <w:pStyle w:val="4"/>
        <w:rPr>
          <w:rFonts w:hint="eastAsia"/>
          <w:lang w:val="en-US" w:eastAsia="zh-CN"/>
        </w:rPr>
      </w:pPr>
    </w:p>
    <w:p w14:paraId="44C5988F">
      <w:pPr>
        <w:rPr>
          <w:rFonts w:hint="eastAsia"/>
          <w:lang w:val="en-US" w:eastAsia="zh-CN"/>
        </w:rPr>
      </w:pPr>
    </w:p>
    <w:p w14:paraId="5B589A03">
      <w:pPr>
        <w:ind w:firstLine="420" w:firstLineChars="200"/>
        <w:rPr>
          <w:rFonts w:hint="eastAsia"/>
          <w:lang w:val="en-US" w:eastAsia="zh-CN"/>
        </w:rPr>
      </w:pPr>
    </w:p>
    <w:sectPr>
      <w:pgSz w:w="11906" w:h="16838"/>
      <w:pgMar w:top="1701" w:right="1474" w:bottom="1587" w:left="1587" w:header="851" w:footer="1361" w:gutter="0"/>
      <w:pgNumType w:fmt="decimal"/>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 w:name="方正美黑_GBK">
    <w:altName w:val="黑体"/>
    <w:panose1 w:val="03000509000000000000"/>
    <w:charset w:val="86"/>
    <w:family w:val="script"/>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AD38CC">
    <w:pPr>
      <w:pStyle w:val="10"/>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2955AF">
                          <w:pPr>
                            <w:pStyle w:val="10"/>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42955AF">
                    <w:pPr>
                      <w:pStyle w:val="10"/>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mirrorMargin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FE84D47"/>
    <w:rsid w:val="0051787C"/>
    <w:rsid w:val="00667F67"/>
    <w:rsid w:val="01471721"/>
    <w:rsid w:val="01484ED6"/>
    <w:rsid w:val="017129DB"/>
    <w:rsid w:val="01983267"/>
    <w:rsid w:val="01DD03CE"/>
    <w:rsid w:val="01E86D3F"/>
    <w:rsid w:val="01ED4BF0"/>
    <w:rsid w:val="022B6179"/>
    <w:rsid w:val="02B84AB0"/>
    <w:rsid w:val="0306390A"/>
    <w:rsid w:val="034F693C"/>
    <w:rsid w:val="03A76AA9"/>
    <w:rsid w:val="03E3051C"/>
    <w:rsid w:val="042E2698"/>
    <w:rsid w:val="0452190C"/>
    <w:rsid w:val="04BA1DB0"/>
    <w:rsid w:val="04CB60FF"/>
    <w:rsid w:val="0513578C"/>
    <w:rsid w:val="05442D09"/>
    <w:rsid w:val="055C3E49"/>
    <w:rsid w:val="057E7A15"/>
    <w:rsid w:val="05822C54"/>
    <w:rsid w:val="05AD529B"/>
    <w:rsid w:val="05E21DC1"/>
    <w:rsid w:val="061B57F2"/>
    <w:rsid w:val="06254AC6"/>
    <w:rsid w:val="0646332E"/>
    <w:rsid w:val="06757643"/>
    <w:rsid w:val="06D275BF"/>
    <w:rsid w:val="06E50A7A"/>
    <w:rsid w:val="06E91520"/>
    <w:rsid w:val="077310B3"/>
    <w:rsid w:val="07B62702"/>
    <w:rsid w:val="07D26584"/>
    <w:rsid w:val="0857440B"/>
    <w:rsid w:val="08ED043E"/>
    <w:rsid w:val="09693C26"/>
    <w:rsid w:val="09925FA5"/>
    <w:rsid w:val="099E7425"/>
    <w:rsid w:val="09DC0037"/>
    <w:rsid w:val="0A4D35E1"/>
    <w:rsid w:val="0AB55D59"/>
    <w:rsid w:val="0ABD769C"/>
    <w:rsid w:val="0AD0602D"/>
    <w:rsid w:val="0AEE4F9B"/>
    <w:rsid w:val="0B6B1D06"/>
    <w:rsid w:val="0B8224AF"/>
    <w:rsid w:val="0BDE2152"/>
    <w:rsid w:val="0BFE7D19"/>
    <w:rsid w:val="0C524F37"/>
    <w:rsid w:val="0C604E56"/>
    <w:rsid w:val="0CC96CEB"/>
    <w:rsid w:val="0CCF2F21"/>
    <w:rsid w:val="0CD51E02"/>
    <w:rsid w:val="0CD8796A"/>
    <w:rsid w:val="0D350E4C"/>
    <w:rsid w:val="0D4D5B20"/>
    <w:rsid w:val="0D6806B5"/>
    <w:rsid w:val="0D7B1C32"/>
    <w:rsid w:val="0D993554"/>
    <w:rsid w:val="0DCD0EB8"/>
    <w:rsid w:val="0DE86492"/>
    <w:rsid w:val="0E18105B"/>
    <w:rsid w:val="0E4123AB"/>
    <w:rsid w:val="0EBF2396"/>
    <w:rsid w:val="0F085A61"/>
    <w:rsid w:val="0F114178"/>
    <w:rsid w:val="0F9C5CE6"/>
    <w:rsid w:val="10287E51"/>
    <w:rsid w:val="10C323BE"/>
    <w:rsid w:val="113951C8"/>
    <w:rsid w:val="114C1832"/>
    <w:rsid w:val="1180075A"/>
    <w:rsid w:val="11F062B6"/>
    <w:rsid w:val="12061E6F"/>
    <w:rsid w:val="12595DD7"/>
    <w:rsid w:val="12AF6D96"/>
    <w:rsid w:val="12B913B1"/>
    <w:rsid w:val="12CD799A"/>
    <w:rsid w:val="12FF6E5D"/>
    <w:rsid w:val="132063C0"/>
    <w:rsid w:val="135A29F0"/>
    <w:rsid w:val="13755E0F"/>
    <w:rsid w:val="13D82D0E"/>
    <w:rsid w:val="13DD2977"/>
    <w:rsid w:val="141C77E3"/>
    <w:rsid w:val="14210FD8"/>
    <w:rsid w:val="15263D0E"/>
    <w:rsid w:val="155E4A45"/>
    <w:rsid w:val="156A0DEA"/>
    <w:rsid w:val="15B377F7"/>
    <w:rsid w:val="16092C25"/>
    <w:rsid w:val="167D4634"/>
    <w:rsid w:val="169A40B6"/>
    <w:rsid w:val="16C125E0"/>
    <w:rsid w:val="171B1719"/>
    <w:rsid w:val="17570444"/>
    <w:rsid w:val="175C6E78"/>
    <w:rsid w:val="177965DF"/>
    <w:rsid w:val="17975CDC"/>
    <w:rsid w:val="187936BB"/>
    <w:rsid w:val="18926F62"/>
    <w:rsid w:val="18C92865"/>
    <w:rsid w:val="192619F5"/>
    <w:rsid w:val="19564ABC"/>
    <w:rsid w:val="19BB68FD"/>
    <w:rsid w:val="1A780AA3"/>
    <w:rsid w:val="1ADE13B6"/>
    <w:rsid w:val="1BCB2296"/>
    <w:rsid w:val="1BD5666F"/>
    <w:rsid w:val="1C134F4E"/>
    <w:rsid w:val="1C182F83"/>
    <w:rsid w:val="1C52703E"/>
    <w:rsid w:val="1C5B16EC"/>
    <w:rsid w:val="1D0C46DE"/>
    <w:rsid w:val="1D536770"/>
    <w:rsid w:val="1DB0451F"/>
    <w:rsid w:val="1E3004A1"/>
    <w:rsid w:val="1E331846"/>
    <w:rsid w:val="1E9A67D5"/>
    <w:rsid w:val="1F420B08"/>
    <w:rsid w:val="1FDC0BC5"/>
    <w:rsid w:val="1FFD5701"/>
    <w:rsid w:val="207E0235"/>
    <w:rsid w:val="20AA5F45"/>
    <w:rsid w:val="20E9191A"/>
    <w:rsid w:val="212C5C71"/>
    <w:rsid w:val="217B49F6"/>
    <w:rsid w:val="219816AB"/>
    <w:rsid w:val="221347E4"/>
    <w:rsid w:val="22BA3CFE"/>
    <w:rsid w:val="22D369A1"/>
    <w:rsid w:val="22FC0093"/>
    <w:rsid w:val="235D2C84"/>
    <w:rsid w:val="23AA7542"/>
    <w:rsid w:val="23B11319"/>
    <w:rsid w:val="23CA3861"/>
    <w:rsid w:val="24505ADA"/>
    <w:rsid w:val="24653F23"/>
    <w:rsid w:val="24857FF4"/>
    <w:rsid w:val="24E92E3E"/>
    <w:rsid w:val="25112E03"/>
    <w:rsid w:val="25370479"/>
    <w:rsid w:val="255E7978"/>
    <w:rsid w:val="25E32F5C"/>
    <w:rsid w:val="2674283F"/>
    <w:rsid w:val="26A835CA"/>
    <w:rsid w:val="26AF780E"/>
    <w:rsid w:val="26B05EDD"/>
    <w:rsid w:val="26E93370"/>
    <w:rsid w:val="27171217"/>
    <w:rsid w:val="27544607"/>
    <w:rsid w:val="275F3EC0"/>
    <w:rsid w:val="27C107F9"/>
    <w:rsid w:val="27F11030"/>
    <w:rsid w:val="27FA7631"/>
    <w:rsid w:val="28160240"/>
    <w:rsid w:val="28192E95"/>
    <w:rsid w:val="287F0A6C"/>
    <w:rsid w:val="28EF553B"/>
    <w:rsid w:val="29261C27"/>
    <w:rsid w:val="29280DA9"/>
    <w:rsid w:val="292D0D26"/>
    <w:rsid w:val="295A35E8"/>
    <w:rsid w:val="2A0F5EEF"/>
    <w:rsid w:val="2A2823F9"/>
    <w:rsid w:val="2ADF71FE"/>
    <w:rsid w:val="2AE639E7"/>
    <w:rsid w:val="2AF54872"/>
    <w:rsid w:val="2B557A16"/>
    <w:rsid w:val="2BA219E0"/>
    <w:rsid w:val="2C0F326C"/>
    <w:rsid w:val="2C6822C7"/>
    <w:rsid w:val="2CF768DA"/>
    <w:rsid w:val="2D0C7D83"/>
    <w:rsid w:val="2DA047F4"/>
    <w:rsid w:val="2DDE2C26"/>
    <w:rsid w:val="2E0B21F3"/>
    <w:rsid w:val="2EC50B16"/>
    <w:rsid w:val="2F2050B8"/>
    <w:rsid w:val="2F5919F4"/>
    <w:rsid w:val="2F9573F2"/>
    <w:rsid w:val="2FF922FA"/>
    <w:rsid w:val="301C4CA4"/>
    <w:rsid w:val="303518D1"/>
    <w:rsid w:val="30C454E7"/>
    <w:rsid w:val="30C8680E"/>
    <w:rsid w:val="30F20F7A"/>
    <w:rsid w:val="314002FA"/>
    <w:rsid w:val="31D733CF"/>
    <w:rsid w:val="323C5EB5"/>
    <w:rsid w:val="326C239C"/>
    <w:rsid w:val="32B441F9"/>
    <w:rsid w:val="32CD7B35"/>
    <w:rsid w:val="33054FD7"/>
    <w:rsid w:val="33C40BA1"/>
    <w:rsid w:val="33D92C48"/>
    <w:rsid w:val="34921163"/>
    <w:rsid w:val="34BF7F26"/>
    <w:rsid w:val="35A86DE0"/>
    <w:rsid w:val="35AD1239"/>
    <w:rsid w:val="35EE3154"/>
    <w:rsid w:val="35FF1492"/>
    <w:rsid w:val="360F548F"/>
    <w:rsid w:val="36132800"/>
    <w:rsid w:val="364A2E89"/>
    <w:rsid w:val="364F4B9E"/>
    <w:rsid w:val="36665FAA"/>
    <w:rsid w:val="36A35847"/>
    <w:rsid w:val="36EE5CDF"/>
    <w:rsid w:val="37626ABF"/>
    <w:rsid w:val="37A170E5"/>
    <w:rsid w:val="37A711DD"/>
    <w:rsid w:val="37B75814"/>
    <w:rsid w:val="37E97370"/>
    <w:rsid w:val="384F0337"/>
    <w:rsid w:val="3919306A"/>
    <w:rsid w:val="393A640C"/>
    <w:rsid w:val="393D0C2C"/>
    <w:rsid w:val="393E3D93"/>
    <w:rsid w:val="393E417C"/>
    <w:rsid w:val="394273C1"/>
    <w:rsid w:val="39705558"/>
    <w:rsid w:val="397E7B3B"/>
    <w:rsid w:val="39B326EA"/>
    <w:rsid w:val="3A9B05E4"/>
    <w:rsid w:val="3BF22E02"/>
    <w:rsid w:val="3C5E051E"/>
    <w:rsid w:val="3CFD11E3"/>
    <w:rsid w:val="3E33035A"/>
    <w:rsid w:val="3EC8093C"/>
    <w:rsid w:val="3ECD387C"/>
    <w:rsid w:val="3F1B2B55"/>
    <w:rsid w:val="3F3C0F07"/>
    <w:rsid w:val="3F546015"/>
    <w:rsid w:val="3F8650B9"/>
    <w:rsid w:val="4071097F"/>
    <w:rsid w:val="40815A96"/>
    <w:rsid w:val="40A25443"/>
    <w:rsid w:val="40D02024"/>
    <w:rsid w:val="40E84090"/>
    <w:rsid w:val="40FC5911"/>
    <w:rsid w:val="4198213F"/>
    <w:rsid w:val="41C01C47"/>
    <w:rsid w:val="41E50C24"/>
    <w:rsid w:val="41EF772F"/>
    <w:rsid w:val="42476D9B"/>
    <w:rsid w:val="425E4C9F"/>
    <w:rsid w:val="43146D17"/>
    <w:rsid w:val="434209BE"/>
    <w:rsid w:val="444F063A"/>
    <w:rsid w:val="44511C09"/>
    <w:rsid w:val="44976B66"/>
    <w:rsid w:val="44A360BA"/>
    <w:rsid w:val="44ED3D5F"/>
    <w:rsid w:val="45405CCE"/>
    <w:rsid w:val="4559762A"/>
    <w:rsid w:val="45A45503"/>
    <w:rsid w:val="45CA44E1"/>
    <w:rsid w:val="464F79FE"/>
    <w:rsid w:val="46CD034A"/>
    <w:rsid w:val="46E06CDD"/>
    <w:rsid w:val="475A76F3"/>
    <w:rsid w:val="47815280"/>
    <w:rsid w:val="480E58F5"/>
    <w:rsid w:val="482C2C9B"/>
    <w:rsid w:val="48927377"/>
    <w:rsid w:val="48B93A51"/>
    <w:rsid w:val="48C64EED"/>
    <w:rsid w:val="49173F40"/>
    <w:rsid w:val="49253D22"/>
    <w:rsid w:val="498D7EA7"/>
    <w:rsid w:val="49C56F32"/>
    <w:rsid w:val="49D4460D"/>
    <w:rsid w:val="49FD2705"/>
    <w:rsid w:val="4A073277"/>
    <w:rsid w:val="4A1A4AA8"/>
    <w:rsid w:val="4AA82C1E"/>
    <w:rsid w:val="4B07520E"/>
    <w:rsid w:val="4B261BFC"/>
    <w:rsid w:val="4B94179A"/>
    <w:rsid w:val="4B9A3DF5"/>
    <w:rsid w:val="4BF373AA"/>
    <w:rsid w:val="4BF63BCC"/>
    <w:rsid w:val="4C1401E7"/>
    <w:rsid w:val="4CA63D1A"/>
    <w:rsid w:val="4CF16495"/>
    <w:rsid w:val="4D0332E4"/>
    <w:rsid w:val="4D451133"/>
    <w:rsid w:val="4F2D79C3"/>
    <w:rsid w:val="4F5B6F9A"/>
    <w:rsid w:val="4F5B752A"/>
    <w:rsid w:val="4FD92F35"/>
    <w:rsid w:val="4FD95FDB"/>
    <w:rsid w:val="4FE84D47"/>
    <w:rsid w:val="509431F3"/>
    <w:rsid w:val="50CC3B6D"/>
    <w:rsid w:val="51755C1C"/>
    <w:rsid w:val="519611E2"/>
    <w:rsid w:val="51F05BC9"/>
    <w:rsid w:val="51F32C37"/>
    <w:rsid w:val="5211413E"/>
    <w:rsid w:val="52912D15"/>
    <w:rsid w:val="52BE3ABE"/>
    <w:rsid w:val="53231A5B"/>
    <w:rsid w:val="532466BC"/>
    <w:rsid w:val="53B575E5"/>
    <w:rsid w:val="53C96A61"/>
    <w:rsid w:val="54346975"/>
    <w:rsid w:val="544341E5"/>
    <w:rsid w:val="54AC308E"/>
    <w:rsid w:val="54DE2F70"/>
    <w:rsid w:val="553F25AA"/>
    <w:rsid w:val="557C6AE3"/>
    <w:rsid w:val="55872A3B"/>
    <w:rsid w:val="558C3466"/>
    <w:rsid w:val="55CE607B"/>
    <w:rsid w:val="55EF3A7A"/>
    <w:rsid w:val="56132FA0"/>
    <w:rsid w:val="563047C3"/>
    <w:rsid w:val="568317BA"/>
    <w:rsid w:val="571B4176"/>
    <w:rsid w:val="5744585B"/>
    <w:rsid w:val="5752164F"/>
    <w:rsid w:val="57AD16D0"/>
    <w:rsid w:val="57C30353"/>
    <w:rsid w:val="57C4262F"/>
    <w:rsid w:val="57DC4232"/>
    <w:rsid w:val="57E76FF7"/>
    <w:rsid w:val="581F6C2C"/>
    <w:rsid w:val="584C7369"/>
    <w:rsid w:val="58513AC5"/>
    <w:rsid w:val="5920315C"/>
    <w:rsid w:val="595032E8"/>
    <w:rsid w:val="596B36A8"/>
    <w:rsid w:val="59B67C04"/>
    <w:rsid w:val="59B83812"/>
    <w:rsid w:val="5A092C54"/>
    <w:rsid w:val="5A207EDD"/>
    <w:rsid w:val="5AAA7B2F"/>
    <w:rsid w:val="5AC12B7F"/>
    <w:rsid w:val="5ADB00F4"/>
    <w:rsid w:val="5B43033A"/>
    <w:rsid w:val="5C3B72CF"/>
    <w:rsid w:val="5C83345B"/>
    <w:rsid w:val="5C89035A"/>
    <w:rsid w:val="5CD428AD"/>
    <w:rsid w:val="5CE46F32"/>
    <w:rsid w:val="5CE91131"/>
    <w:rsid w:val="5D696523"/>
    <w:rsid w:val="5DCD64D2"/>
    <w:rsid w:val="5DDF5E4B"/>
    <w:rsid w:val="5E1E76EA"/>
    <w:rsid w:val="5E9B04CE"/>
    <w:rsid w:val="5EE25757"/>
    <w:rsid w:val="5F176920"/>
    <w:rsid w:val="5F351A6F"/>
    <w:rsid w:val="5F8322EB"/>
    <w:rsid w:val="602033D2"/>
    <w:rsid w:val="60377661"/>
    <w:rsid w:val="608215DE"/>
    <w:rsid w:val="60AC5503"/>
    <w:rsid w:val="610D4466"/>
    <w:rsid w:val="61781B0B"/>
    <w:rsid w:val="61A36B37"/>
    <w:rsid w:val="61BA4B5F"/>
    <w:rsid w:val="62033198"/>
    <w:rsid w:val="62033D86"/>
    <w:rsid w:val="62077122"/>
    <w:rsid w:val="621E330D"/>
    <w:rsid w:val="628948B1"/>
    <w:rsid w:val="62CA347A"/>
    <w:rsid w:val="63351FDC"/>
    <w:rsid w:val="6351174F"/>
    <w:rsid w:val="63A36942"/>
    <w:rsid w:val="64082144"/>
    <w:rsid w:val="645D30DD"/>
    <w:rsid w:val="65B6605A"/>
    <w:rsid w:val="65CC238F"/>
    <w:rsid w:val="65F429C8"/>
    <w:rsid w:val="66105EC0"/>
    <w:rsid w:val="661E685C"/>
    <w:rsid w:val="66BA25B7"/>
    <w:rsid w:val="66C00291"/>
    <w:rsid w:val="672B4060"/>
    <w:rsid w:val="67462E39"/>
    <w:rsid w:val="67D10A7B"/>
    <w:rsid w:val="68146D17"/>
    <w:rsid w:val="68471D4E"/>
    <w:rsid w:val="695A5DC1"/>
    <w:rsid w:val="695D1CF7"/>
    <w:rsid w:val="695E6762"/>
    <w:rsid w:val="69C500B7"/>
    <w:rsid w:val="6A29587C"/>
    <w:rsid w:val="6A5362D6"/>
    <w:rsid w:val="6A543E17"/>
    <w:rsid w:val="6A565517"/>
    <w:rsid w:val="6ACA0C00"/>
    <w:rsid w:val="6B6326B3"/>
    <w:rsid w:val="6BB6039E"/>
    <w:rsid w:val="6BF64B1C"/>
    <w:rsid w:val="6C222A02"/>
    <w:rsid w:val="6C226ACB"/>
    <w:rsid w:val="6C763691"/>
    <w:rsid w:val="6C916CEC"/>
    <w:rsid w:val="6CB75758"/>
    <w:rsid w:val="6CEC3DD4"/>
    <w:rsid w:val="6D124271"/>
    <w:rsid w:val="6D6918CF"/>
    <w:rsid w:val="6DC61D2B"/>
    <w:rsid w:val="6DE565F1"/>
    <w:rsid w:val="6EAB2ED6"/>
    <w:rsid w:val="6F261C81"/>
    <w:rsid w:val="6F797F7E"/>
    <w:rsid w:val="70045033"/>
    <w:rsid w:val="70261468"/>
    <w:rsid w:val="704B5F90"/>
    <w:rsid w:val="718762C5"/>
    <w:rsid w:val="71A425E3"/>
    <w:rsid w:val="71B7687E"/>
    <w:rsid w:val="721B7F9A"/>
    <w:rsid w:val="727574F0"/>
    <w:rsid w:val="72830126"/>
    <w:rsid w:val="72E12B6B"/>
    <w:rsid w:val="73117F48"/>
    <w:rsid w:val="7354021E"/>
    <w:rsid w:val="7361536B"/>
    <w:rsid w:val="736F2FCE"/>
    <w:rsid w:val="73FA51E8"/>
    <w:rsid w:val="745821A6"/>
    <w:rsid w:val="745D23E1"/>
    <w:rsid w:val="74FA7061"/>
    <w:rsid w:val="75103885"/>
    <w:rsid w:val="75605B2F"/>
    <w:rsid w:val="75857EF8"/>
    <w:rsid w:val="759D786E"/>
    <w:rsid w:val="75F2312B"/>
    <w:rsid w:val="761A0E5F"/>
    <w:rsid w:val="76595FED"/>
    <w:rsid w:val="767205DC"/>
    <w:rsid w:val="76C8256C"/>
    <w:rsid w:val="76F428BC"/>
    <w:rsid w:val="76FB73CB"/>
    <w:rsid w:val="770D02F0"/>
    <w:rsid w:val="7769778C"/>
    <w:rsid w:val="77A9187B"/>
    <w:rsid w:val="77FB4C98"/>
    <w:rsid w:val="78113D60"/>
    <w:rsid w:val="78DD2811"/>
    <w:rsid w:val="79412436"/>
    <w:rsid w:val="79FA0986"/>
    <w:rsid w:val="7A0A426C"/>
    <w:rsid w:val="7A6044F2"/>
    <w:rsid w:val="7B5866CA"/>
    <w:rsid w:val="7BAB3C24"/>
    <w:rsid w:val="7BD2500E"/>
    <w:rsid w:val="7C634F3A"/>
    <w:rsid w:val="7C9A0B92"/>
    <w:rsid w:val="7E522367"/>
    <w:rsid w:val="7E955E5B"/>
    <w:rsid w:val="7EDC068E"/>
    <w:rsid w:val="7F6A49AD"/>
    <w:rsid w:val="7F9167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nhideWhenUsed="0" w:uiPriority="39"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4">
    <w:name w:val="heading 2"/>
    <w:basedOn w:val="1"/>
    <w:next w:val="1"/>
    <w:qFormat/>
    <w:uiPriority w:val="0"/>
    <w:pPr>
      <w:keepNext/>
      <w:keepLines/>
      <w:spacing w:before="260" w:after="260" w:line="416" w:lineRule="auto"/>
      <w:outlineLvl w:val="1"/>
    </w:pPr>
    <w:rPr>
      <w:rFonts w:ascii="等线 Light" w:hAnsi="等线 Light" w:eastAsia="等线 Light"/>
      <w:b/>
      <w:bCs/>
      <w:kern w:val="0"/>
      <w:sz w:val="32"/>
      <w:szCs w:val="32"/>
    </w:rPr>
  </w:style>
  <w:style w:type="character" w:default="1" w:styleId="18">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customStyle="1" w:styleId="2">
    <w:name w:val="正文缩进1"/>
    <w:basedOn w:val="1"/>
    <w:qFormat/>
    <w:uiPriority w:val="0"/>
    <w:pPr>
      <w:ind w:firstLine="624"/>
      <w:textAlignment w:val="center"/>
    </w:pPr>
    <w:rPr>
      <w:rFonts w:ascii="Times New Roman" w:hAnsi="Times New Roman" w:eastAsia="宋体" w:cs="Times New Roman"/>
    </w:rPr>
  </w:style>
  <w:style w:type="paragraph" w:styleId="5">
    <w:name w:val="annotation text"/>
    <w:basedOn w:val="1"/>
    <w:qFormat/>
    <w:uiPriority w:val="0"/>
    <w:pPr>
      <w:jc w:val="left"/>
    </w:pPr>
  </w:style>
  <w:style w:type="paragraph" w:styleId="6">
    <w:name w:val="Body Text"/>
    <w:basedOn w:val="1"/>
    <w:next w:val="1"/>
    <w:qFormat/>
    <w:uiPriority w:val="1"/>
    <w:rPr>
      <w:rFonts w:ascii="仿宋" w:hAnsi="仿宋" w:eastAsia="仿宋" w:cs="仿宋"/>
      <w:sz w:val="30"/>
      <w:szCs w:val="30"/>
      <w:lang w:val="zh-CN" w:eastAsia="zh-CN" w:bidi="zh-CN"/>
    </w:rPr>
  </w:style>
  <w:style w:type="paragraph" w:styleId="7">
    <w:name w:val="Body Text Indent"/>
    <w:basedOn w:val="1"/>
    <w:next w:val="1"/>
    <w:qFormat/>
    <w:uiPriority w:val="0"/>
    <w:pPr>
      <w:ind w:firstLine="810"/>
    </w:pPr>
    <w:rPr>
      <w:sz w:val="32"/>
      <w:szCs w:val="24"/>
    </w:rPr>
  </w:style>
  <w:style w:type="paragraph" w:styleId="8">
    <w:name w:val="Plain Text"/>
    <w:basedOn w:val="1"/>
    <w:qFormat/>
    <w:uiPriority w:val="0"/>
    <w:rPr>
      <w:rFonts w:ascii="宋体" w:hAnsi="Courier New" w:cs="Courier New"/>
      <w:szCs w:val="21"/>
    </w:rPr>
  </w:style>
  <w:style w:type="paragraph" w:styleId="9">
    <w:name w:val="Body Text Indent 2"/>
    <w:basedOn w:val="1"/>
    <w:next w:val="1"/>
    <w:qFormat/>
    <w:uiPriority w:val="99"/>
    <w:pPr>
      <w:spacing w:line="360" w:lineRule="auto"/>
      <w:ind w:firstLine="1134"/>
    </w:p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toc 9"/>
    <w:basedOn w:val="1"/>
    <w:next w:val="1"/>
    <w:qFormat/>
    <w:uiPriority w:val="39"/>
    <w:pPr>
      <w:snapToGrid/>
      <w:spacing w:line="240" w:lineRule="auto"/>
      <w:ind w:left="3360" w:leftChars="1600"/>
    </w:pPr>
    <w:rPr>
      <w:sz w:val="21"/>
    </w:rPr>
  </w:style>
  <w:style w:type="paragraph" w:styleId="13">
    <w:name w:val="HTML Preformatted"/>
    <w:qFormat/>
    <w:uiPriority w:val="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Body Text First Indent 2"/>
    <w:basedOn w:val="7"/>
    <w:next w:val="1"/>
    <w:qFormat/>
    <w:uiPriority w:val="0"/>
    <w:pPr>
      <w:spacing w:after="0"/>
      <w:ind w:left="0" w:leftChars="0" w:firstLine="420" w:firstLineChars="200"/>
    </w:pPr>
    <w:rPr>
      <w:rFonts w:ascii="宋体" w:hAnsi="宋体"/>
      <w:sz w:val="28"/>
      <w:szCs w:val="32"/>
    </w:rPr>
  </w:style>
  <w:style w:type="table" w:styleId="17">
    <w:name w:val="Table Grid"/>
    <w:basedOn w:val="1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9">
    <w:name w:val="Emphasis"/>
    <w:basedOn w:val="18"/>
    <w:qFormat/>
    <w:uiPriority w:val="0"/>
    <w:rPr>
      <w:i/>
    </w:rPr>
  </w:style>
  <w:style w:type="paragraph" w:customStyle="1" w:styleId="20">
    <w:name w:val="_Style 2"/>
    <w:basedOn w:val="1"/>
    <w:qFormat/>
    <w:uiPriority w:val="99"/>
    <w:pPr>
      <w:spacing w:line="351" w:lineRule="atLeast"/>
      <w:ind w:firstLine="623"/>
      <w:textAlignment w:val="baseline"/>
    </w:pPr>
    <w:rPr>
      <w:rFonts w:ascii="Times New Roman" w:hAnsi="Times New Roman" w:eastAsia="仿宋_GB2312" w:cs="Times New Roman"/>
      <w:color w:val="000000"/>
      <w:sz w:val="31"/>
      <w:szCs w:val="31"/>
    </w:rPr>
  </w:style>
  <w:style w:type="paragraph" w:customStyle="1" w:styleId="21">
    <w:name w:val="标4"/>
    <w:basedOn w:val="1"/>
    <w:qFormat/>
    <w:uiPriority w:val="0"/>
    <w:pPr>
      <w:adjustRightInd w:val="0"/>
      <w:spacing w:before="240" w:after="360" w:line="240" w:lineRule="exact"/>
      <w:outlineLvl w:val="3"/>
    </w:pPr>
    <w:rPr>
      <w:rFonts w:ascii="Arial" w:hAnsi="Arial" w:cs="Arial"/>
      <w:b/>
      <w:bCs/>
      <w:kern w:val="24"/>
    </w:rPr>
  </w:style>
  <w:style w:type="paragraph" w:customStyle="1" w:styleId="22">
    <w:name w:val="Default"/>
    <w:basedOn w:val="1"/>
    <w:next w:val="12"/>
    <w:qFormat/>
    <w:uiPriority w:val="0"/>
    <w:pPr>
      <w:autoSpaceDE w:val="0"/>
      <w:autoSpaceDN w:val="0"/>
      <w:adjustRightInd w:val="0"/>
      <w:spacing w:line="600" w:lineRule="exact"/>
      <w:ind w:firstLine="640"/>
      <w:jc w:val="left"/>
    </w:pPr>
    <w:rPr>
      <w:rFonts w:ascii="方正小标宋简体" w:hAnsi="Calibri" w:eastAsia="方正小标宋简体" w:cs="宋体"/>
      <w:color w:val="000000"/>
      <w:kern w:val="0"/>
      <w:sz w:val="24"/>
    </w:rPr>
  </w:style>
  <w:style w:type="paragraph" w:customStyle="1" w:styleId="23">
    <w:name w:val="BodyTextIndent2"/>
    <w:basedOn w:val="1"/>
    <w:next w:val="1"/>
    <w:qFormat/>
    <w:uiPriority w:val="0"/>
    <w:pPr>
      <w:spacing w:line="480" w:lineRule="auto"/>
      <w:ind w:left="420" w:leftChars="200"/>
      <w:textAlignment w:val="baseline"/>
    </w:pPr>
  </w:style>
  <w:style w:type="paragraph" w:styleId="24">
    <w:name w:val="No Spacing"/>
    <w:qFormat/>
    <w:uiPriority w:val="99"/>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55</Pages>
  <Words>26229</Words>
  <Characters>27618</Characters>
  <Lines>0</Lines>
  <Paragraphs>0</Paragraphs>
  <TotalTime>12</TotalTime>
  <ScaleCrop>false</ScaleCrop>
  <LinksUpToDate>false</LinksUpToDate>
  <CharactersWithSpaces>27656</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2025-08-20T00:21:00Z</dcterms:created>
  <dc:creator>池州市督察科</dc:creator>
  <cp:lastModifiedBy>馒头馊了</cp:lastModifiedBy>
  <dcterms:modified xsi:type="dcterms:W3CDTF">2026-02-28T08:54:04Z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EBE70DB823C84A28BA7D9D72BDB52210_13</vt:lpwstr>
  </property>
  <property fmtid="{D5CDD505-2E9C-101B-9397-08002B2CF9AE}" pid="4" name="KSOTemplateDocerSaveRecord">
    <vt:lpwstr>eyJoZGlkIjoiZWYwYTVjNDA0ZjIwODhjODliZDgxMTJiMWIyNjBlYzgiLCJ1c2VySWQiOiIzOTI3Nzg3OTAifQ==</vt:lpwstr>
  </property>
</Properties>
</file>