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BE5D4A">
      <w:pPr>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jc w:val="right"/>
        <w:textAlignment w:val="auto"/>
        <w:rPr>
          <w:rFonts w:hint="default" w:ascii="Times New Roman" w:hAnsi="Times New Roman" w:eastAsia="方正仿宋_GBK" w:cs="Times New Roman"/>
        </w:rPr>
      </w:pPr>
    </w:p>
    <w:p w14:paraId="2E04B98F">
      <w:pPr>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jc w:val="center"/>
        <w:textAlignment w:val="auto"/>
        <w:rPr>
          <w:rFonts w:hint="default" w:ascii="Times New Roman" w:hAnsi="Times New Roman" w:eastAsia="方正仿宋_GBK" w:cs="Times New Roman"/>
          <w:sz w:val="44"/>
          <w:szCs w:val="44"/>
        </w:rPr>
      </w:pPr>
    </w:p>
    <w:p w14:paraId="41B96619">
      <w:pPr>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池州市人民政府</w:t>
      </w:r>
      <w:r>
        <w:rPr>
          <w:rFonts w:hint="eastAsia" w:ascii="方正小标宋_GBK" w:hAnsi="方正小标宋_GBK" w:eastAsia="方正小标宋_GBK" w:cs="方正小标宋_GBK"/>
          <w:bCs/>
          <w:sz w:val="44"/>
          <w:szCs w:val="44"/>
        </w:rPr>
        <w:t>办公室</w:t>
      </w:r>
      <w:r>
        <w:rPr>
          <w:rFonts w:hint="eastAsia" w:ascii="方正小标宋_GBK" w:hAnsi="方正小标宋_GBK" w:eastAsia="方正小标宋_GBK" w:cs="方正小标宋_GBK"/>
          <w:sz w:val="44"/>
          <w:szCs w:val="44"/>
        </w:rPr>
        <w:t>关于印发《池州市</w:t>
      </w:r>
    </w:p>
    <w:p w14:paraId="137996B0">
      <w:pPr>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jc w:val="center"/>
        <w:textAlignment w:val="auto"/>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sz w:val="44"/>
          <w:szCs w:val="44"/>
        </w:rPr>
        <w:t>人民政府2026年度重大行政决策事项</w:t>
      </w:r>
    </w:p>
    <w:p w14:paraId="05FAB18C">
      <w:pPr>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jc w:val="center"/>
        <w:textAlignment w:val="auto"/>
        <w:rPr>
          <w:rFonts w:hint="eastAsia" w:ascii="方正小标宋_GBK" w:hAnsi="方正小标宋_GBK" w:eastAsia="方正小标宋_GBK" w:cs="方正小标宋_GBK"/>
        </w:rPr>
      </w:pPr>
      <w:r>
        <w:rPr>
          <w:rFonts w:hint="eastAsia" w:ascii="方正小标宋_GBK" w:hAnsi="方正小标宋_GBK" w:eastAsia="方正小标宋_GBK" w:cs="方正小标宋_GBK"/>
          <w:sz w:val="44"/>
          <w:szCs w:val="44"/>
        </w:rPr>
        <w:t>目录清单》的通知</w:t>
      </w:r>
    </w:p>
    <w:p w14:paraId="59C83443">
      <w:pPr>
        <w:pStyle w:val="2"/>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jc w:val="center"/>
        <w:textAlignment w:val="auto"/>
        <w:rPr>
          <w:rFonts w:hint="default" w:ascii="Times New Roman" w:hAnsi="Times New Roman" w:eastAsia="方正仿宋_GBK" w:cs="Times New Roman"/>
          <w:sz w:val="32"/>
          <w:szCs w:val="32"/>
        </w:rPr>
      </w:pPr>
      <w:bookmarkStart w:id="0" w:name="发文字号"/>
      <w:r>
        <w:rPr>
          <w:rFonts w:hint="default" w:ascii="Times New Roman" w:hAnsi="Times New Roman" w:eastAsia="方正仿宋_GBK" w:cs="Times New Roman"/>
          <w:sz w:val="32"/>
          <w:szCs w:val="32"/>
        </w:rPr>
        <w:t>池政办秘〔2026〕6号</w:t>
      </w:r>
      <w:bookmarkEnd w:id="0"/>
    </w:p>
    <w:p w14:paraId="00832945">
      <w:pPr>
        <w:pStyle w:val="2"/>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jc w:val="center"/>
        <w:textAlignment w:val="auto"/>
        <w:rPr>
          <w:rFonts w:hint="default" w:ascii="Times New Roman" w:hAnsi="Times New Roman" w:eastAsia="方正仿宋_GBK" w:cs="Times New Roman"/>
          <w:sz w:val="32"/>
          <w:szCs w:val="32"/>
        </w:rPr>
      </w:pPr>
    </w:p>
    <w:p w14:paraId="784854C1">
      <w:pPr>
        <w:pStyle w:val="2"/>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textAlignment w:val="auto"/>
        <w:rPr>
          <w:rFonts w:hint="default" w:ascii="Times New Roman" w:hAnsi="Times New Roman" w:eastAsia="方正仿宋_GBK" w:cs="Times New Roman"/>
          <w:position w:val="7"/>
          <w:sz w:val="32"/>
          <w:szCs w:val="32"/>
        </w:rPr>
      </w:pPr>
      <w:r>
        <w:rPr>
          <w:rFonts w:hint="default" w:ascii="Times New Roman" w:hAnsi="Times New Roman" w:eastAsia="方正仿宋_GBK" w:cs="Times New Roman"/>
          <w:spacing w:val="-6"/>
          <w:position w:val="6"/>
          <w:sz w:val="32"/>
          <w:szCs w:val="32"/>
        </w:rPr>
        <w:t>各县、区人民政府，江南新兴产业集中区、九华山风景区、开发区、</w:t>
      </w:r>
      <w:r>
        <w:rPr>
          <w:rFonts w:hint="default" w:ascii="Times New Roman" w:hAnsi="Times New Roman" w:eastAsia="方正仿宋_GBK" w:cs="Times New Roman"/>
          <w:position w:val="7"/>
          <w:sz w:val="32"/>
          <w:szCs w:val="32"/>
        </w:rPr>
        <w:t>平天湖风景区管委会，市政府各部门、各直属机构：</w:t>
      </w:r>
      <w:r>
        <w:rPr>
          <w:rFonts w:hint="default" w:ascii="Times New Roman" w:hAnsi="Times New Roman" w:eastAsia="方正仿宋_GBK" w:cs="Times New Roman"/>
          <w:position w:val="7"/>
          <w:sz w:val="32"/>
          <w:szCs w:val="32"/>
        </w:rPr>
        <w:t xml:space="preserve"> </w:t>
      </w:r>
    </w:p>
    <w:p w14:paraId="2850C326">
      <w:pPr>
        <w:pStyle w:val="2"/>
        <w:keepNext w:val="0"/>
        <w:keepLines w:val="0"/>
        <w:pageBreakBefore w:val="0"/>
        <w:widowControl w:val="0"/>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为进一步规范重大行政决策制定工作，不断提升决策科学化、民主化、法治化水平，根据《重大行政决策程序暂行条例》（国务院令</w:t>
      </w:r>
      <w:r>
        <w:rPr>
          <w:rFonts w:hint="default" w:ascii="Times New Roman" w:hAnsi="Times New Roman" w:eastAsia="方正仿宋_GBK" w:cs="Times New Roman"/>
          <w:sz w:val="32"/>
          <w:szCs w:val="32"/>
        </w:rPr>
        <w:t>第713号</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rPr>
        <w:t>、《安徽省重大行政决策程序规定》（省政府令第300号）等法规规章规定，经市政府同意，现将《池州市人民政府2026年度重大行政决策事项目录清单</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以下简称《目录清单》）印发给你们，并就有关工作要求通知如下：</w:t>
      </w:r>
    </w:p>
    <w:p w14:paraId="45125148">
      <w:pPr>
        <w:pStyle w:val="2"/>
        <w:keepNext w:val="0"/>
        <w:keepLines w:val="0"/>
        <w:pageBreakBefore w:val="0"/>
        <w:widowControl w:val="0"/>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rPr>
        <w:t>压实承办责任，严格履行程序。</w:t>
      </w:r>
      <w:r>
        <w:rPr>
          <w:rFonts w:hint="default" w:ascii="Times New Roman" w:hAnsi="Times New Roman" w:eastAsia="方正仿宋_GBK" w:cs="Times New Roman"/>
          <w:sz w:val="32"/>
          <w:szCs w:val="32"/>
        </w:rPr>
        <w:t>各决策事项承办单位要高度重视，对照</w:t>
      </w:r>
      <w:r>
        <w:rPr>
          <w:rFonts w:hint="default" w:ascii="Times New Roman" w:hAnsi="Times New Roman" w:eastAsia="方正仿宋_GBK" w:cs="Times New Roman"/>
          <w:sz w:val="32"/>
          <w:szCs w:val="32"/>
        </w:rPr>
        <w:t>《目录清单》</w:t>
      </w:r>
      <w:r>
        <w:rPr>
          <w:rFonts w:hint="default" w:ascii="Times New Roman" w:hAnsi="Times New Roman" w:eastAsia="方正仿宋_GBK" w:cs="Times New Roman"/>
          <w:sz w:val="32"/>
          <w:szCs w:val="32"/>
        </w:rPr>
        <w:t>统筹推进，确保各项决策事项按期高质量完成。要严格履行公众参与、专家论证、风险评估、公平</w:t>
      </w:r>
      <w:bookmarkStart w:id="1" w:name="_GoBack"/>
      <w:bookmarkEnd w:id="1"/>
      <w:r>
        <w:rPr>
          <w:rFonts w:hint="default" w:ascii="Times New Roman" w:hAnsi="Times New Roman" w:eastAsia="方正仿宋_GBK" w:cs="Times New Roman"/>
          <w:sz w:val="32"/>
          <w:szCs w:val="32"/>
        </w:rPr>
        <w:t>竞争审查、合法性审查、集体讨论决定及决策公开等法定程序，切实做到程序规范、过程透明。要建立健全重大行政决策全过程记录和档案管理制度，实现决策流程可查、可追溯。</w:t>
      </w:r>
    </w:p>
    <w:p w14:paraId="346EEAC2">
      <w:pPr>
        <w:pStyle w:val="2"/>
        <w:keepNext w:val="0"/>
        <w:keepLines w:val="0"/>
        <w:pageBreakBefore w:val="0"/>
        <w:widowControl w:val="0"/>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rPr>
        <w:t>严格目录管理，规范动态调整。</w:t>
      </w:r>
      <w:r>
        <w:rPr>
          <w:rFonts w:hint="default" w:ascii="Times New Roman" w:hAnsi="Times New Roman" w:eastAsia="方正仿宋_GBK" w:cs="Times New Roman"/>
          <w:sz w:val="32"/>
          <w:szCs w:val="32"/>
        </w:rPr>
        <w:t>《目录清单》是年度重大</w:t>
      </w:r>
    </w:p>
    <w:p w14:paraId="5FE68B2E">
      <w:pPr>
        <w:pStyle w:val="2"/>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textAlignment w:val="auto"/>
        <w:rPr>
          <w:rFonts w:hint="default" w:ascii="Times New Roman" w:hAnsi="Times New Roman" w:eastAsia="方正仿宋_GBK" w:cs="Times New Roman"/>
          <w:sz w:val="32"/>
          <w:szCs w:val="32"/>
        </w:rPr>
        <w:sectPr>
          <w:headerReference r:id="rId3" w:type="default"/>
          <w:footerReference r:id="rId4" w:type="default"/>
          <w:footerReference r:id="rId5" w:type="even"/>
          <w:pgSz w:w="11906" w:h="16838"/>
          <w:pgMar w:top="1587" w:right="1418" w:bottom="1417" w:left="1503" w:header="851" w:footer="1134" w:gutter="0"/>
          <w:cols w:space="720" w:num="1"/>
          <w:titlePg/>
          <w:docGrid w:linePitch="435" w:charSpace="0"/>
        </w:sectPr>
      </w:pPr>
    </w:p>
    <w:p w14:paraId="7962C5AC">
      <w:pPr>
        <w:pStyle w:val="2"/>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行政决策工作的总抓手，各决策承办单位原则上应严格遵照执行。因市委、市政府重点工作部署确需新增、调整或取消决策事项的，决策事项承办单位应当认真研究论证，按程序报市政府审定后实施，切实维护目录管理的严肃性。</w:t>
      </w:r>
    </w:p>
    <w:p w14:paraId="10680DF7">
      <w:pPr>
        <w:pStyle w:val="2"/>
        <w:keepNext w:val="0"/>
        <w:keepLines w:val="0"/>
        <w:pageBreakBefore w:val="0"/>
        <w:widowControl w:val="0"/>
        <w:kinsoku/>
        <w:wordWrap/>
        <w:overflowPunct/>
        <w:topLinePunct w:val="0"/>
        <w:autoSpaceDE/>
        <w:autoSpaceDN/>
        <w:bidi w:val="0"/>
        <w:adjustRightInd/>
        <w:snapToGrid/>
        <w:spacing w:line="590" w:lineRule="exact"/>
        <w:ind w:right="0" w:righ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三、健全工作机制，提升决策水平。</w:t>
      </w:r>
      <w:r>
        <w:rPr>
          <w:rFonts w:hint="default" w:ascii="Times New Roman" w:hAnsi="Times New Roman" w:eastAsia="方正仿宋_GBK" w:cs="Times New Roman"/>
          <w:sz w:val="32"/>
          <w:szCs w:val="32"/>
        </w:rPr>
        <w:t xml:space="preserve">各地各部门要参照本通知要求，对照上级相关规定，结合实际研究制定并公布本地本部门的重大行政决策事项目录清单，并认真组织实施。要以目录管理为契机，健全科学民主依法决策的工作机制，进一步提升重大行政决策质量。   </w:t>
      </w:r>
    </w:p>
    <w:p w14:paraId="7B5ED4DD">
      <w:pPr>
        <w:pStyle w:val="2"/>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textAlignment w:val="auto"/>
        <w:rPr>
          <w:rFonts w:hint="default" w:ascii="Times New Roman" w:hAnsi="Times New Roman" w:eastAsia="方正仿宋_GBK" w:cs="Times New Roman"/>
          <w:sz w:val="32"/>
          <w:szCs w:val="32"/>
        </w:rPr>
      </w:pPr>
    </w:p>
    <w:p w14:paraId="7B54397D">
      <w:pPr>
        <w:pStyle w:val="2"/>
        <w:keepNext w:val="0"/>
        <w:keepLines w:val="0"/>
        <w:pageBreakBefore w:val="0"/>
        <w:widowControl w:val="0"/>
        <w:kinsoku/>
        <w:wordWrap/>
        <w:overflowPunct/>
        <w:topLinePunct w:val="0"/>
        <w:autoSpaceDE/>
        <w:autoSpaceDN/>
        <w:bidi w:val="0"/>
        <w:adjustRightInd/>
        <w:snapToGrid/>
        <w:spacing w:line="590" w:lineRule="exact"/>
        <w:ind w:left="1600" w:leftChars="200" w:right="0" w:rightChars="0" w:hanging="960" w:hangingChars="300"/>
        <w:textAlignment w:val="auto"/>
        <w:rPr>
          <w:rFonts w:hint="eastAsia"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rPr>
        <w:t>附件：池州市人民政府</w:t>
      </w:r>
      <w:r>
        <w:rPr>
          <w:rFonts w:hint="default" w:ascii="Times New Roman" w:hAnsi="Times New Roman" w:eastAsia="方正仿宋_GBK" w:cs="Times New Roman"/>
          <w:sz w:val="32"/>
          <w:szCs w:val="32"/>
        </w:rPr>
        <w:t>2026</w:t>
      </w:r>
      <w:r>
        <w:rPr>
          <w:rFonts w:hint="default" w:ascii="Times New Roman" w:hAnsi="Times New Roman" w:eastAsia="方正仿宋_GBK" w:cs="Times New Roman"/>
          <w:sz w:val="32"/>
          <w:szCs w:val="32"/>
        </w:rPr>
        <w:t>年度重大行政决策事项目</w:t>
      </w:r>
      <w:r>
        <w:rPr>
          <w:rFonts w:hint="default" w:ascii="Times New Roman" w:hAnsi="Times New Roman" w:eastAsia="方正仿宋_GBK" w:cs="Times New Roman"/>
          <w:sz w:val="32"/>
          <w:szCs w:val="32"/>
        </w:rPr>
        <w:t>录清单</w:t>
      </w:r>
    </w:p>
    <w:p w14:paraId="387F64F9">
      <w:pPr>
        <w:pStyle w:val="2"/>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textAlignment w:val="auto"/>
        <w:rPr>
          <w:rFonts w:hint="default" w:ascii="Times New Roman" w:hAnsi="Times New Roman" w:eastAsia="方正仿宋_GBK" w:cs="Times New Roman"/>
          <w:sz w:val="32"/>
          <w:szCs w:val="32"/>
        </w:rPr>
      </w:pPr>
    </w:p>
    <w:p w14:paraId="500954C0">
      <w:pPr>
        <w:pStyle w:val="2"/>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textAlignment w:val="auto"/>
        <w:rPr>
          <w:rFonts w:hint="default" w:ascii="Times New Roman" w:hAnsi="Times New Roman" w:eastAsia="方正仿宋_GBK" w:cs="Times New Roman"/>
          <w:sz w:val="32"/>
          <w:szCs w:val="32"/>
        </w:rPr>
      </w:pPr>
    </w:p>
    <w:p w14:paraId="61D46B8A">
      <w:pPr>
        <w:pStyle w:val="2"/>
        <w:keepNext w:val="0"/>
        <w:keepLines w:val="0"/>
        <w:pageBreakBefore w:val="0"/>
        <w:widowControl w:val="0"/>
        <w:kinsoku/>
        <w:wordWrap w:val="0"/>
        <w:overflowPunct/>
        <w:topLinePunct w:val="0"/>
        <w:autoSpaceDE/>
        <w:autoSpaceDN/>
        <w:bidi w:val="0"/>
        <w:adjustRightInd/>
        <w:snapToGrid/>
        <w:spacing w:line="590" w:lineRule="exact"/>
        <w:ind w:right="0" w:rightChars="0" w:firstLine="0" w:firstLineChars="0"/>
        <w:jc w:val="right"/>
        <w:textAlignment w:val="auto"/>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 xml:space="preserve">池州市人民政府办公室    </w:t>
      </w:r>
    </w:p>
    <w:p w14:paraId="569809B9">
      <w:pPr>
        <w:pStyle w:val="2"/>
        <w:keepNext w:val="0"/>
        <w:keepLines w:val="0"/>
        <w:pageBreakBefore w:val="0"/>
        <w:widowControl w:val="0"/>
        <w:kinsoku/>
        <w:wordWrap w:val="0"/>
        <w:overflowPunct/>
        <w:topLinePunct w:val="0"/>
        <w:autoSpaceDE/>
        <w:autoSpaceDN/>
        <w:bidi w:val="0"/>
        <w:adjustRightInd/>
        <w:snapToGrid/>
        <w:spacing w:line="590" w:lineRule="exact"/>
        <w:ind w:right="0" w:rightChars="0" w:firstLine="0" w:firstLineChars="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2026年3月25日</w:t>
      </w:r>
      <w:r>
        <w:rPr>
          <w:rFonts w:hint="eastAsia" w:ascii="Times New Roman" w:hAnsi="Times New Roman" w:eastAsia="方正仿宋_GBK" w:cs="Times New Roman"/>
          <w:sz w:val="32"/>
          <w:szCs w:val="32"/>
          <w:lang w:val="en-US" w:eastAsia="zh-CN"/>
        </w:rPr>
        <w:t xml:space="preserve">      </w:t>
      </w:r>
    </w:p>
    <w:p w14:paraId="032DF974">
      <w:pPr>
        <w:pStyle w:val="2"/>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textAlignment w:val="auto"/>
        <w:rPr>
          <w:rFonts w:hint="default" w:ascii="Times New Roman" w:hAnsi="Times New Roman" w:eastAsia="方正仿宋_GBK" w:cs="Times New Roman"/>
          <w:sz w:val="32"/>
          <w:szCs w:val="32"/>
        </w:rPr>
      </w:pPr>
    </w:p>
    <w:p w14:paraId="4095EFD7">
      <w:pPr>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textAlignment w:val="auto"/>
        <w:rPr>
          <w:rFonts w:hint="default" w:ascii="Times New Roman" w:hAnsi="Times New Roman" w:eastAsia="方正仿宋_GBK" w:cs="Times New Roman"/>
        </w:rPr>
      </w:pPr>
      <w:r>
        <w:rPr>
          <w:rFonts w:hint="default" w:ascii="Times New Roman" w:hAnsi="Times New Roman" w:eastAsia="方正仿宋_GBK" w:cs="Times New Roman"/>
        </w:rPr>
        <w:t>（此件公开发布）</w:t>
      </w:r>
    </w:p>
    <w:p w14:paraId="6A7D3A51">
      <w:pPr>
        <w:pStyle w:val="2"/>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textAlignment w:val="auto"/>
        <w:rPr>
          <w:rFonts w:hint="default" w:ascii="Times New Roman" w:hAnsi="Times New Roman" w:eastAsia="方正仿宋_GBK" w:cs="Times New Roman"/>
          <w:sz w:val="32"/>
          <w:szCs w:val="32"/>
        </w:rPr>
      </w:pPr>
    </w:p>
    <w:p w14:paraId="60FF15B4">
      <w:pPr>
        <w:pStyle w:val="2"/>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textAlignment w:val="auto"/>
        <w:rPr>
          <w:rFonts w:hint="default" w:ascii="Times New Roman" w:hAnsi="Times New Roman" w:eastAsia="方正仿宋_GBK" w:cs="Times New Roman"/>
          <w:sz w:val="32"/>
          <w:szCs w:val="32"/>
        </w:rPr>
      </w:pPr>
    </w:p>
    <w:p w14:paraId="7D6AFEF6">
      <w:pPr>
        <w:pStyle w:val="2"/>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textAlignment w:val="auto"/>
        <w:rPr>
          <w:rFonts w:hint="default" w:ascii="Times New Roman" w:hAnsi="Times New Roman" w:eastAsia="方正仿宋_GBK" w:cs="Times New Roman"/>
          <w:sz w:val="32"/>
          <w:szCs w:val="32"/>
        </w:rPr>
      </w:pPr>
    </w:p>
    <w:p w14:paraId="604F358C">
      <w:pPr>
        <w:pStyle w:val="2"/>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textAlignment w:val="auto"/>
        <w:rPr>
          <w:rFonts w:hint="default" w:ascii="Times New Roman" w:hAnsi="Times New Roman" w:eastAsia="方正仿宋_GBK" w:cs="Times New Roman"/>
          <w:sz w:val="32"/>
          <w:szCs w:val="32"/>
        </w:rPr>
      </w:pPr>
    </w:p>
    <w:p w14:paraId="6227D4DE">
      <w:pPr>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textAlignment w:val="auto"/>
        <w:rPr>
          <w:rFonts w:hint="default" w:ascii="Times New Roman" w:hAnsi="Times New Roman" w:eastAsia="方正仿宋_GBK" w:cs="Times New Roman"/>
        </w:rPr>
      </w:pPr>
      <w:r>
        <w:rPr>
          <w:rFonts w:hint="default" w:ascii="Times New Roman" w:hAnsi="Times New Roman" w:eastAsia="方正仿宋_GBK" w:cs="Times New Roman"/>
        </w:rPr>
        <w:br w:type="page"/>
      </w:r>
      <w:r>
        <w:rPr>
          <w:rFonts w:hint="eastAsia" w:ascii="方正黑体_GBK" w:hAnsi="方正黑体_GBK" w:eastAsia="方正黑体_GBK" w:cs="方正黑体_GBK"/>
        </w:rPr>
        <w:t>附件</w:t>
      </w:r>
    </w:p>
    <w:p w14:paraId="6C95ABEB">
      <w:pPr>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textAlignment w:val="auto"/>
        <w:rPr>
          <w:rFonts w:hint="default" w:ascii="Times New Roman" w:hAnsi="Times New Roman" w:eastAsia="方正仿宋_GBK" w:cs="Times New Roman"/>
        </w:rPr>
      </w:pPr>
    </w:p>
    <w:p w14:paraId="67C60913">
      <w:pPr>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jc w:val="center"/>
        <w:textAlignment w:val="auto"/>
        <w:rPr>
          <w:rFonts w:hint="default" w:ascii="方正小标宋_GBK" w:hAnsi="方正小标宋_GBK" w:eastAsia="方正小标宋_GBK" w:cs="方正小标宋_GBK"/>
          <w:sz w:val="44"/>
          <w:szCs w:val="44"/>
        </w:rPr>
      </w:pPr>
      <w:r>
        <w:rPr>
          <w:rFonts w:hint="default" w:ascii="方正小标宋_GBK" w:hAnsi="方正小标宋_GBK" w:eastAsia="方正小标宋_GBK" w:cs="方正小标宋_GBK"/>
          <w:sz w:val="44"/>
          <w:szCs w:val="44"/>
        </w:rPr>
        <w:t>池州市人民政府2026年度重大行政决策</w:t>
      </w:r>
    </w:p>
    <w:p w14:paraId="41FFDBCA">
      <w:pPr>
        <w:keepNext w:val="0"/>
        <w:keepLines w:val="0"/>
        <w:pageBreakBefore w:val="0"/>
        <w:widowControl w:val="0"/>
        <w:kinsoku/>
        <w:wordWrap/>
        <w:overflowPunct/>
        <w:topLinePunct w:val="0"/>
        <w:autoSpaceDE/>
        <w:autoSpaceDN/>
        <w:bidi w:val="0"/>
        <w:adjustRightInd/>
        <w:snapToGrid/>
        <w:spacing w:line="590" w:lineRule="exact"/>
        <w:ind w:right="0" w:rightChars="0" w:firstLine="0" w:firstLineChars="0"/>
        <w:jc w:val="center"/>
        <w:textAlignment w:val="auto"/>
        <w:rPr>
          <w:rFonts w:hint="default" w:ascii="Times New Roman" w:hAnsi="Times New Roman" w:eastAsia="方正仿宋_GBK" w:cs="Times New Roman"/>
        </w:rPr>
      </w:pPr>
      <w:r>
        <w:rPr>
          <w:rFonts w:hint="default" w:ascii="方正小标宋_GBK" w:hAnsi="方正小标宋_GBK" w:eastAsia="方正小标宋_GBK" w:cs="方正小标宋_GBK"/>
          <w:sz w:val="44"/>
          <w:szCs w:val="44"/>
        </w:rPr>
        <w:t>事项目录清单</w:t>
      </w:r>
    </w:p>
    <w:tbl>
      <w:tblPr>
        <w:tblStyle w:val="5"/>
        <w:tblpPr w:leftFromText="180" w:rightFromText="180" w:vertAnchor="text" w:horzAnchor="page" w:tblpXSpec="center" w:tblpY="29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5556"/>
        <w:gridCol w:w="2778"/>
        <w:gridCol w:w="1417"/>
      </w:tblGrid>
      <w:tr w14:paraId="66C0C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7" w:type="dxa"/>
            <w:noWrap w:val="0"/>
            <w:tcMar>
              <w:top w:w="0" w:type="dxa"/>
              <w:left w:w="0" w:type="dxa"/>
              <w:bottom w:w="0" w:type="dxa"/>
              <w:right w:w="0" w:type="dxa"/>
            </w:tcMar>
            <w:vAlign w:val="center"/>
          </w:tcPr>
          <w:p w14:paraId="7950E72E">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eastAsia" w:ascii="方正黑体_GBK" w:hAnsi="方正黑体_GBK" w:eastAsia="方正黑体_GBK" w:cs="方正黑体_GBK"/>
              </w:rPr>
            </w:pPr>
            <w:r>
              <w:rPr>
                <w:rFonts w:hint="eastAsia" w:ascii="方正黑体_GBK" w:hAnsi="方正黑体_GBK" w:eastAsia="方正黑体_GBK" w:cs="方正黑体_GBK"/>
              </w:rPr>
              <w:t>序号</w:t>
            </w:r>
          </w:p>
        </w:tc>
        <w:tc>
          <w:tcPr>
            <w:tcW w:w="5556" w:type="dxa"/>
            <w:noWrap w:val="0"/>
            <w:tcMar>
              <w:top w:w="0" w:type="dxa"/>
              <w:left w:w="0" w:type="dxa"/>
              <w:bottom w:w="0" w:type="dxa"/>
              <w:right w:w="0" w:type="dxa"/>
            </w:tcMar>
            <w:vAlign w:val="center"/>
          </w:tcPr>
          <w:p w14:paraId="6107CDC4">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eastAsia" w:ascii="方正黑体_GBK" w:hAnsi="方正黑体_GBK" w:eastAsia="方正黑体_GBK" w:cs="方正黑体_GBK"/>
              </w:rPr>
            </w:pPr>
            <w:r>
              <w:rPr>
                <w:rFonts w:hint="eastAsia" w:ascii="方正黑体_GBK" w:hAnsi="方正黑体_GBK" w:eastAsia="方正黑体_GBK" w:cs="方正黑体_GBK"/>
              </w:rPr>
              <w:t>事项</w:t>
            </w:r>
          </w:p>
        </w:tc>
        <w:tc>
          <w:tcPr>
            <w:tcW w:w="2778" w:type="dxa"/>
            <w:noWrap w:val="0"/>
            <w:tcMar>
              <w:top w:w="0" w:type="dxa"/>
              <w:left w:w="0" w:type="dxa"/>
              <w:bottom w:w="0" w:type="dxa"/>
              <w:right w:w="0" w:type="dxa"/>
            </w:tcMar>
            <w:vAlign w:val="center"/>
          </w:tcPr>
          <w:p w14:paraId="03FB6D72">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eastAsia" w:ascii="方正黑体_GBK" w:hAnsi="方正黑体_GBK" w:eastAsia="方正黑体_GBK" w:cs="方正黑体_GBK"/>
              </w:rPr>
            </w:pPr>
            <w:r>
              <w:rPr>
                <w:rFonts w:hint="eastAsia" w:ascii="方正黑体_GBK" w:hAnsi="方正黑体_GBK" w:eastAsia="方正黑体_GBK" w:cs="方正黑体_GBK"/>
              </w:rPr>
              <w:t>承办部门</w:t>
            </w:r>
          </w:p>
        </w:tc>
        <w:tc>
          <w:tcPr>
            <w:tcW w:w="1417" w:type="dxa"/>
            <w:noWrap w:val="0"/>
            <w:tcMar>
              <w:top w:w="0" w:type="dxa"/>
              <w:left w:w="0" w:type="dxa"/>
              <w:bottom w:w="0" w:type="dxa"/>
              <w:right w:w="0" w:type="dxa"/>
            </w:tcMar>
            <w:vAlign w:val="center"/>
          </w:tcPr>
          <w:p w14:paraId="4EABB15E">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eastAsia" w:ascii="方正黑体_GBK" w:hAnsi="方正黑体_GBK" w:eastAsia="方正黑体_GBK" w:cs="方正黑体_GBK"/>
              </w:rPr>
            </w:pPr>
            <w:r>
              <w:rPr>
                <w:rFonts w:hint="eastAsia" w:ascii="方正黑体_GBK" w:hAnsi="方正黑体_GBK" w:eastAsia="方正黑体_GBK" w:cs="方正黑体_GBK"/>
              </w:rPr>
              <w:t>时间安排</w:t>
            </w:r>
          </w:p>
        </w:tc>
      </w:tr>
      <w:tr w14:paraId="378CB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737" w:type="dxa"/>
            <w:noWrap w:val="0"/>
            <w:vAlign w:val="center"/>
          </w:tcPr>
          <w:p w14:paraId="79935D92">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w:t>
            </w:r>
          </w:p>
        </w:tc>
        <w:tc>
          <w:tcPr>
            <w:tcW w:w="5556" w:type="dxa"/>
            <w:noWrap w:val="0"/>
            <w:vAlign w:val="center"/>
          </w:tcPr>
          <w:p w14:paraId="4ED303FC">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池州市国民经济和社会发展第十五个五年规划纲要</w:t>
            </w:r>
          </w:p>
        </w:tc>
        <w:tc>
          <w:tcPr>
            <w:tcW w:w="2778" w:type="dxa"/>
            <w:noWrap w:val="0"/>
            <w:vAlign w:val="center"/>
          </w:tcPr>
          <w:p w14:paraId="69A3B219">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市发展改革委</w:t>
            </w:r>
          </w:p>
        </w:tc>
        <w:tc>
          <w:tcPr>
            <w:tcW w:w="1417" w:type="dxa"/>
            <w:noWrap w:val="0"/>
            <w:vAlign w:val="center"/>
          </w:tcPr>
          <w:p w14:paraId="5C336BBA">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第一季度</w:t>
            </w:r>
          </w:p>
        </w:tc>
      </w:tr>
      <w:tr w14:paraId="5A37D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737" w:type="dxa"/>
            <w:noWrap w:val="0"/>
            <w:vAlign w:val="center"/>
          </w:tcPr>
          <w:p w14:paraId="1253C49F">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w:t>
            </w:r>
          </w:p>
        </w:tc>
        <w:tc>
          <w:tcPr>
            <w:tcW w:w="5556" w:type="dxa"/>
            <w:noWrap w:val="0"/>
            <w:vAlign w:val="center"/>
          </w:tcPr>
          <w:p w14:paraId="696C0C06">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关于锚定农业农村现代化 扎实推进乡村全面振兴的实施意见</w:t>
            </w:r>
          </w:p>
        </w:tc>
        <w:tc>
          <w:tcPr>
            <w:tcW w:w="2778" w:type="dxa"/>
            <w:noWrap w:val="0"/>
            <w:vAlign w:val="center"/>
          </w:tcPr>
          <w:p w14:paraId="19F9E3DA">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市农业农村局</w:t>
            </w:r>
          </w:p>
        </w:tc>
        <w:tc>
          <w:tcPr>
            <w:tcW w:w="1417" w:type="dxa"/>
            <w:noWrap w:val="0"/>
            <w:vAlign w:val="center"/>
          </w:tcPr>
          <w:p w14:paraId="5854EB56">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第一季度</w:t>
            </w:r>
          </w:p>
        </w:tc>
      </w:tr>
      <w:tr w14:paraId="6C93A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737" w:type="dxa"/>
            <w:noWrap w:val="0"/>
            <w:vAlign w:val="center"/>
          </w:tcPr>
          <w:p w14:paraId="050C5B31">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3</w:t>
            </w:r>
          </w:p>
        </w:tc>
        <w:tc>
          <w:tcPr>
            <w:tcW w:w="5556" w:type="dxa"/>
            <w:noWrap w:val="0"/>
            <w:vAlign w:val="center"/>
          </w:tcPr>
          <w:p w14:paraId="50FB120D">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关于调整禁止使用高排放非道路移动机械区域的通告</w:t>
            </w:r>
          </w:p>
        </w:tc>
        <w:tc>
          <w:tcPr>
            <w:tcW w:w="2778" w:type="dxa"/>
            <w:noWrap w:val="0"/>
            <w:vAlign w:val="center"/>
          </w:tcPr>
          <w:p w14:paraId="7944A605">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市生态环境局</w:t>
            </w:r>
          </w:p>
        </w:tc>
        <w:tc>
          <w:tcPr>
            <w:tcW w:w="1417" w:type="dxa"/>
            <w:noWrap w:val="0"/>
            <w:vAlign w:val="center"/>
          </w:tcPr>
          <w:p w14:paraId="4F647504">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第二季度</w:t>
            </w:r>
          </w:p>
        </w:tc>
      </w:tr>
      <w:tr w14:paraId="1A222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7" w:type="dxa"/>
            <w:noWrap w:val="0"/>
            <w:vAlign w:val="center"/>
          </w:tcPr>
          <w:p w14:paraId="5F5BE8ED">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4</w:t>
            </w:r>
          </w:p>
        </w:tc>
        <w:tc>
          <w:tcPr>
            <w:tcW w:w="5556" w:type="dxa"/>
            <w:noWrap w:val="0"/>
            <w:vAlign w:val="center"/>
          </w:tcPr>
          <w:p w14:paraId="2EEA5750">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池州市国有土地上房屋征收与补偿办法</w:t>
            </w:r>
          </w:p>
        </w:tc>
        <w:tc>
          <w:tcPr>
            <w:tcW w:w="2778" w:type="dxa"/>
            <w:noWrap w:val="0"/>
            <w:vAlign w:val="center"/>
          </w:tcPr>
          <w:p w14:paraId="23E4BF00">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市住房城乡建设局</w:t>
            </w:r>
          </w:p>
        </w:tc>
        <w:tc>
          <w:tcPr>
            <w:tcW w:w="1417" w:type="dxa"/>
            <w:noWrap w:val="0"/>
            <w:vAlign w:val="center"/>
          </w:tcPr>
          <w:p w14:paraId="57EDA958">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第二季度</w:t>
            </w:r>
          </w:p>
        </w:tc>
      </w:tr>
      <w:tr w14:paraId="442A7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737" w:type="dxa"/>
            <w:noWrap w:val="0"/>
            <w:vAlign w:val="center"/>
          </w:tcPr>
          <w:p w14:paraId="568B8582">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5</w:t>
            </w:r>
          </w:p>
        </w:tc>
        <w:tc>
          <w:tcPr>
            <w:tcW w:w="5556" w:type="dxa"/>
            <w:noWrap w:val="0"/>
            <w:vAlign w:val="center"/>
          </w:tcPr>
          <w:p w14:paraId="62B5E151">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池州市主城区国有土地上房屋征收搬迁费、临时安置费等相关赔偿标准</w:t>
            </w:r>
          </w:p>
        </w:tc>
        <w:tc>
          <w:tcPr>
            <w:tcW w:w="2778" w:type="dxa"/>
            <w:noWrap w:val="0"/>
            <w:vAlign w:val="center"/>
          </w:tcPr>
          <w:p w14:paraId="48F01465">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市住房城乡建设局</w:t>
            </w:r>
          </w:p>
        </w:tc>
        <w:tc>
          <w:tcPr>
            <w:tcW w:w="1417" w:type="dxa"/>
            <w:noWrap w:val="0"/>
            <w:vAlign w:val="center"/>
          </w:tcPr>
          <w:p w14:paraId="5C1BCEE7">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第二季度</w:t>
            </w:r>
          </w:p>
        </w:tc>
      </w:tr>
      <w:tr w14:paraId="05CA0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7" w:type="dxa"/>
            <w:noWrap w:val="0"/>
            <w:vAlign w:val="center"/>
          </w:tcPr>
          <w:p w14:paraId="02FB01CE">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6</w:t>
            </w:r>
          </w:p>
        </w:tc>
        <w:tc>
          <w:tcPr>
            <w:tcW w:w="5556" w:type="dxa"/>
            <w:noWrap w:val="0"/>
            <w:vAlign w:val="center"/>
          </w:tcPr>
          <w:p w14:paraId="2B167F57">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池州市“十五五”数字池州建设规划</w:t>
            </w:r>
          </w:p>
        </w:tc>
        <w:tc>
          <w:tcPr>
            <w:tcW w:w="2778" w:type="dxa"/>
            <w:noWrap w:val="0"/>
            <w:vAlign w:val="center"/>
          </w:tcPr>
          <w:p w14:paraId="1E5E1795">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市数据资源局</w:t>
            </w:r>
          </w:p>
        </w:tc>
        <w:tc>
          <w:tcPr>
            <w:tcW w:w="1417" w:type="dxa"/>
            <w:noWrap w:val="0"/>
            <w:vAlign w:val="center"/>
          </w:tcPr>
          <w:p w14:paraId="0E348C63">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第二季度</w:t>
            </w:r>
          </w:p>
        </w:tc>
      </w:tr>
      <w:tr w14:paraId="1D985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737" w:type="dxa"/>
            <w:noWrap w:val="0"/>
            <w:vAlign w:val="center"/>
          </w:tcPr>
          <w:p w14:paraId="1F8E62B8">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7</w:t>
            </w:r>
          </w:p>
        </w:tc>
        <w:tc>
          <w:tcPr>
            <w:tcW w:w="5556" w:type="dxa"/>
            <w:noWrap w:val="0"/>
            <w:vAlign w:val="center"/>
          </w:tcPr>
          <w:p w14:paraId="10E18AA4">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池州市“十五五”加快推进农业农村现代化规划（2026—2030年）</w:t>
            </w:r>
          </w:p>
        </w:tc>
        <w:tc>
          <w:tcPr>
            <w:tcW w:w="2778" w:type="dxa"/>
            <w:noWrap w:val="0"/>
            <w:vAlign w:val="center"/>
          </w:tcPr>
          <w:p w14:paraId="56C397DB">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市农业农村局</w:t>
            </w:r>
          </w:p>
        </w:tc>
        <w:tc>
          <w:tcPr>
            <w:tcW w:w="1417" w:type="dxa"/>
            <w:noWrap w:val="0"/>
            <w:vAlign w:val="center"/>
          </w:tcPr>
          <w:p w14:paraId="4F2DF74B">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第三季度</w:t>
            </w:r>
          </w:p>
        </w:tc>
      </w:tr>
      <w:tr w14:paraId="21741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7" w:type="dxa"/>
            <w:noWrap w:val="0"/>
            <w:vAlign w:val="center"/>
          </w:tcPr>
          <w:p w14:paraId="222C2463">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8</w:t>
            </w:r>
          </w:p>
        </w:tc>
        <w:tc>
          <w:tcPr>
            <w:tcW w:w="5556" w:type="dxa"/>
            <w:noWrap w:val="0"/>
            <w:vAlign w:val="center"/>
          </w:tcPr>
          <w:p w14:paraId="1793CBED">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池州市全面提升生活垃圾分类质效工作方案</w:t>
            </w:r>
          </w:p>
        </w:tc>
        <w:tc>
          <w:tcPr>
            <w:tcW w:w="2778" w:type="dxa"/>
            <w:noWrap w:val="0"/>
            <w:vAlign w:val="center"/>
          </w:tcPr>
          <w:p w14:paraId="28F16EF6">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市城市管理局</w:t>
            </w:r>
          </w:p>
        </w:tc>
        <w:tc>
          <w:tcPr>
            <w:tcW w:w="1417" w:type="dxa"/>
            <w:noWrap w:val="0"/>
            <w:vAlign w:val="center"/>
          </w:tcPr>
          <w:p w14:paraId="4E915CD6">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第三季度</w:t>
            </w:r>
          </w:p>
        </w:tc>
      </w:tr>
      <w:tr w14:paraId="335D2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737" w:type="dxa"/>
            <w:noWrap w:val="0"/>
            <w:vAlign w:val="center"/>
          </w:tcPr>
          <w:p w14:paraId="2E7D5B2F">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9</w:t>
            </w:r>
          </w:p>
        </w:tc>
        <w:tc>
          <w:tcPr>
            <w:tcW w:w="5556" w:type="dxa"/>
            <w:noWrap w:val="0"/>
            <w:vAlign w:val="center"/>
          </w:tcPr>
          <w:p w14:paraId="1E2B14A8">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关于推动文化和旅游深度融合发展全域旅游把文化旅游业打造成为支柱产业的实施方案</w:t>
            </w:r>
          </w:p>
        </w:tc>
        <w:tc>
          <w:tcPr>
            <w:tcW w:w="2778" w:type="dxa"/>
            <w:noWrap w:val="0"/>
            <w:vAlign w:val="center"/>
          </w:tcPr>
          <w:p w14:paraId="6E81883C">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市文化和旅游局</w:t>
            </w:r>
          </w:p>
        </w:tc>
        <w:tc>
          <w:tcPr>
            <w:tcW w:w="1417" w:type="dxa"/>
            <w:noWrap w:val="0"/>
            <w:vAlign w:val="center"/>
          </w:tcPr>
          <w:p w14:paraId="229B6797">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第三季度</w:t>
            </w:r>
          </w:p>
        </w:tc>
      </w:tr>
      <w:tr w14:paraId="32430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7" w:type="dxa"/>
            <w:noWrap w:val="0"/>
            <w:vAlign w:val="center"/>
          </w:tcPr>
          <w:p w14:paraId="2DA49E88">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10</w:t>
            </w:r>
          </w:p>
        </w:tc>
        <w:tc>
          <w:tcPr>
            <w:tcW w:w="5556" w:type="dxa"/>
            <w:noWrap w:val="0"/>
            <w:vAlign w:val="center"/>
          </w:tcPr>
          <w:p w14:paraId="64809C59">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池州市“十五五”</w:t>
            </w:r>
            <w:r>
              <w:rPr>
                <w:rFonts w:hint="default" w:ascii="Times New Roman" w:hAnsi="Times New Roman" w:eastAsia="方正仿宋_GBK" w:cs="Times New Roman"/>
                <w:spacing w:val="6"/>
                <w:kern w:val="0"/>
                <w:sz w:val="28"/>
                <w:szCs w:val="28"/>
              </w:rPr>
              <w:t>综合交通运输发展规划</w:t>
            </w:r>
          </w:p>
        </w:tc>
        <w:tc>
          <w:tcPr>
            <w:tcW w:w="2778" w:type="dxa"/>
            <w:noWrap w:val="0"/>
            <w:vAlign w:val="center"/>
          </w:tcPr>
          <w:p w14:paraId="1E4F9883">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市交通运输局</w:t>
            </w:r>
          </w:p>
        </w:tc>
        <w:tc>
          <w:tcPr>
            <w:tcW w:w="1417" w:type="dxa"/>
            <w:noWrap w:val="0"/>
            <w:vAlign w:val="center"/>
          </w:tcPr>
          <w:p w14:paraId="28A9C641">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第四季度</w:t>
            </w:r>
          </w:p>
        </w:tc>
      </w:tr>
      <w:tr w14:paraId="138C5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7" w:type="dxa"/>
            <w:noWrap w:val="0"/>
            <w:vAlign w:val="center"/>
          </w:tcPr>
          <w:p w14:paraId="7406EEB3">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11</w:t>
            </w:r>
          </w:p>
        </w:tc>
        <w:tc>
          <w:tcPr>
            <w:tcW w:w="5556" w:type="dxa"/>
            <w:noWrap w:val="0"/>
            <w:vAlign w:val="center"/>
          </w:tcPr>
          <w:p w14:paraId="70B2C2B9">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池州市征收农村村民住宅补偿安置办法</w:t>
            </w:r>
          </w:p>
        </w:tc>
        <w:tc>
          <w:tcPr>
            <w:tcW w:w="2778" w:type="dxa"/>
            <w:noWrap w:val="0"/>
            <w:vAlign w:val="center"/>
          </w:tcPr>
          <w:p w14:paraId="65A4A32B">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市自然资源和规划局</w:t>
            </w:r>
          </w:p>
        </w:tc>
        <w:tc>
          <w:tcPr>
            <w:tcW w:w="1417" w:type="dxa"/>
            <w:noWrap w:val="0"/>
            <w:vAlign w:val="center"/>
          </w:tcPr>
          <w:p w14:paraId="6B55813D">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第四季度</w:t>
            </w:r>
          </w:p>
        </w:tc>
      </w:tr>
      <w:tr w14:paraId="615D1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737" w:type="dxa"/>
            <w:noWrap w:val="0"/>
            <w:vAlign w:val="center"/>
          </w:tcPr>
          <w:p w14:paraId="10064CD0">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12</w:t>
            </w:r>
          </w:p>
        </w:tc>
        <w:tc>
          <w:tcPr>
            <w:tcW w:w="5556" w:type="dxa"/>
            <w:noWrap w:val="0"/>
            <w:vAlign w:val="center"/>
          </w:tcPr>
          <w:p w14:paraId="6937B960">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公布池州市第五批市级非物质文化遗产代表性项目名录</w:t>
            </w:r>
          </w:p>
        </w:tc>
        <w:tc>
          <w:tcPr>
            <w:tcW w:w="2778" w:type="dxa"/>
            <w:noWrap w:val="0"/>
            <w:vAlign w:val="center"/>
          </w:tcPr>
          <w:p w14:paraId="28DC7025">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市文化和旅游局</w:t>
            </w:r>
          </w:p>
        </w:tc>
        <w:tc>
          <w:tcPr>
            <w:tcW w:w="1417" w:type="dxa"/>
            <w:noWrap w:val="0"/>
            <w:vAlign w:val="center"/>
          </w:tcPr>
          <w:p w14:paraId="241EDE67">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jc w:val="center"/>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第四季度</w:t>
            </w:r>
          </w:p>
        </w:tc>
      </w:tr>
    </w:tbl>
    <w:p w14:paraId="26234226">
      <w:pPr>
        <w:keepNext w:val="0"/>
        <w:keepLines w:val="0"/>
        <w:pageBreakBefore w:val="0"/>
        <w:widowControl w:val="0"/>
        <w:kinsoku/>
        <w:wordWrap/>
        <w:overflowPunct/>
        <w:topLinePunct w:val="0"/>
        <w:autoSpaceDE/>
        <w:autoSpaceDN/>
        <w:bidi w:val="0"/>
        <w:adjustRightInd/>
        <w:snapToGrid/>
        <w:spacing w:line="400" w:lineRule="exact"/>
        <w:ind w:right="0" w:rightChars="0" w:firstLine="0" w:firstLineChars="0"/>
        <w:textAlignment w:val="auto"/>
        <w:rPr>
          <w:rFonts w:hint="default" w:ascii="Times New Roman" w:hAnsi="Times New Roman" w:eastAsia="方正仿宋_GBK"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CESI黑体-GB13000">
    <w:altName w:val="黑体"/>
    <w:panose1 w:val="02000500000000000000"/>
    <w:charset w:val="86"/>
    <w:family w:val="auto"/>
    <w:pitch w:val="default"/>
    <w:sig w:usb0="00000000" w:usb1="00000000" w:usb2="00000016" w:usb3="00000000" w:csb0="0004000F" w:csb1="00000000"/>
  </w:font>
  <w:font w:name="方正仿宋_GB2312">
    <w:panose1 w:val="02000000000000000000"/>
    <w:charset w:val="86"/>
    <w:family w:val="auto"/>
    <w:pitch w:val="default"/>
    <w:sig w:usb0="A00002BF" w:usb1="184F6CFA" w:usb2="00000012" w:usb3="00000000" w:csb0="00040001" w:csb1="00000000"/>
  </w:font>
  <w:font w:name="方正仿宋_GBK">
    <w:panose1 w:val="03000509000000000000"/>
    <w:charset w:val="86"/>
    <w:family w:val="auto"/>
    <w:pitch w:val="default"/>
    <w:sig w:usb0="00000001" w:usb1="080E0000" w:usb2="00000000" w:usb3="00000000" w:csb0="00040000" w:csb1="00000000"/>
  </w:font>
  <w:font w:name="方正仿宋_GB18030">
    <w:panose1 w:val="02000000000000000000"/>
    <w:charset w:val="86"/>
    <w:family w:val="auto"/>
    <w:pitch w:val="default"/>
    <w:sig w:usb0="00000001" w:usb1="0800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E6B4A">
    <w:pPr>
      <w:pStyle w:val="3"/>
      <w:rPr>
        <w:rStyle w:val="7"/>
      </w:rPr>
    </w:pPr>
  </w:p>
  <w:p w14:paraId="22BC7DF8">
    <w:pPr>
      <w:pStyle w:val="3"/>
      <w:wordWrap w:val="0"/>
      <w:ind w:right="360" w:firstLine="360"/>
      <w:jc w:val="right"/>
      <w:rPr>
        <w:rFonts w:hint="eastAsia"/>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A0927">
    <w:pPr>
      <w:pStyle w:val="3"/>
      <w:framePr w:wrap="around" w:vAnchor="text" w:hAnchor="margin" w:xAlign="outside" w:y="1"/>
      <w:rPr>
        <w:rStyle w:val="7"/>
      </w:rPr>
    </w:pPr>
    <w:r>
      <w:fldChar w:fldCharType="begin"/>
    </w:r>
    <w:r>
      <w:rPr>
        <w:rStyle w:val="7"/>
      </w:rPr>
      <w:instrText xml:space="preserve">PAGE  </w:instrText>
    </w:r>
    <w:r>
      <w:fldChar w:fldCharType="end"/>
    </w:r>
  </w:p>
  <w:p w14:paraId="306FCD5C">
    <w:pPr>
      <w:pStyle w:val="3"/>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FFFEF">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A32505"/>
    <w:rsid w:val="55BF6A67"/>
    <w:rsid w:val="61206A54"/>
    <w:rsid w:val="677B47B7"/>
    <w:rsid w:val="6C303DC2"/>
    <w:rsid w:val="731242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Times New Roman" w:eastAsia="仿宋_GB2312" w:cs="Times New Roman"/>
      <w:kern w:val="2"/>
      <w:sz w:val="32"/>
      <w:szCs w:val="3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qFormat/>
    <w:uiPriority w:val="0"/>
    <w:pPr>
      <w:widowControl w:val="0"/>
      <w:suppressAutoHyphens/>
      <w:ind w:firstLine="200" w:firstLineChars="200"/>
      <w:jc w:val="both"/>
    </w:pPr>
    <w:rPr>
      <w:rFonts w:ascii="Calibri" w:hAnsi="Calibri" w:eastAsia="宋体" w:cs="Times New Roman"/>
      <w:kern w:val="2"/>
      <w:sz w:val="21"/>
      <w:szCs w:val="24"/>
      <w:lang w:val="en-US" w:eastAsia="zh-CN" w:bidi="ar-SA"/>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uiPriority w:val="0"/>
    <w:pPr>
      <w:pBdr>
        <w:bottom w:val="single" w:color="auto" w:sz="6" w:space="1"/>
      </w:pBdr>
      <w:tabs>
        <w:tab w:val="center" w:pos="4153"/>
        <w:tab w:val="right" w:pos="8306"/>
      </w:tabs>
      <w:snapToGrid w:val="0"/>
      <w:jc w:val="center"/>
    </w:pPr>
    <w:rPr>
      <w:sz w:val="18"/>
      <w:szCs w:val="18"/>
    </w:rPr>
  </w:style>
  <w:style w:type="character" w:styleId="7">
    <w:name w:val="page number"/>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12</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2026-03-27T01:14:49Z</dcterms:created>
  <dc:creator>admin</dc:creator>
  <cp:lastModifiedBy>周媛</cp:lastModifiedBy>
  <dcterms:modified xsi:type="dcterms:W3CDTF">2026-03-27T01:41:31Z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eyJoZGlkIjoiZmE4ZTM1OTBkNDc4NTI4NzI2NDc5OGJiM2E2NzM3ZTEiLCJ1c2VySWQiOiI0MTMzNDYyMzIifQ==</vt:lpwstr>
  </property>
  <property fmtid="{D5CDD505-2E9C-101B-9397-08002B2CF9AE}" pid="4" name="ICV">
    <vt:lpwstr>551A6B57592D45ADA40661F6B2AF8E7E_12</vt:lpwstr>
  </property>
</Properties>
</file>